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DC3A" w14:textId="77777777" w:rsidR="00BE1814" w:rsidRPr="00313C1C" w:rsidRDefault="00E644FF" w:rsidP="00BE1814">
      <w:pPr>
        <w:pStyle w:val="Title"/>
        <w:ind w:left="360" w:right="360"/>
        <w:rPr>
          <w:rFonts w:ascii="Book Antiqua" w:hAnsi="Book Antiqua"/>
          <w:b w:val="0"/>
          <w:sz w:val="22"/>
          <w:szCs w:val="22"/>
        </w:rPr>
      </w:pPr>
      <w:r w:rsidRPr="00313C1C">
        <w:rPr>
          <w:rFonts w:ascii="Book Antiqua" w:hAnsi="Book Antiqua"/>
          <w:b w:val="0"/>
          <w:sz w:val="22"/>
          <w:szCs w:val="22"/>
        </w:rPr>
        <w:t>ANNUAL FUNDING NOTICE</w:t>
      </w:r>
    </w:p>
    <w:p w14:paraId="31D04981" w14:textId="77777777" w:rsidR="00E644FF" w:rsidRPr="00313C1C" w:rsidRDefault="00E644FF" w:rsidP="00BE1814">
      <w:pPr>
        <w:pStyle w:val="Title"/>
        <w:ind w:left="360" w:right="360"/>
        <w:rPr>
          <w:rFonts w:ascii="Book Antiqua" w:hAnsi="Book Antiqua"/>
          <w:b w:val="0"/>
          <w:sz w:val="22"/>
          <w:szCs w:val="22"/>
        </w:rPr>
      </w:pPr>
      <w:r w:rsidRPr="00313C1C">
        <w:rPr>
          <w:rFonts w:ascii="Book Antiqua" w:hAnsi="Book Antiqua"/>
          <w:b w:val="0"/>
          <w:sz w:val="22"/>
          <w:szCs w:val="22"/>
        </w:rPr>
        <w:t>For</w:t>
      </w:r>
    </w:p>
    <w:p w14:paraId="1EA0A8B1" w14:textId="77777777" w:rsidR="00E644FF" w:rsidRPr="00313C1C" w:rsidRDefault="00E644FF" w:rsidP="00E644FF">
      <w:pPr>
        <w:pStyle w:val="Title"/>
        <w:ind w:left="360" w:right="360"/>
        <w:rPr>
          <w:rFonts w:ascii="Book Antiqua" w:hAnsi="Book Antiqua"/>
          <w:b w:val="0"/>
          <w:sz w:val="22"/>
          <w:szCs w:val="22"/>
        </w:rPr>
      </w:pPr>
      <w:r w:rsidRPr="00313C1C">
        <w:rPr>
          <w:rFonts w:ascii="Book Antiqua" w:hAnsi="Book Antiqua"/>
          <w:b w:val="0"/>
          <w:sz w:val="22"/>
          <w:szCs w:val="22"/>
        </w:rPr>
        <w:t>CWA/ITU Negotiated Pension Plan</w:t>
      </w:r>
    </w:p>
    <w:p w14:paraId="14744514" w14:textId="0F0D1EF6" w:rsidR="00E644FF" w:rsidRPr="00313C1C" w:rsidRDefault="00E644FF" w:rsidP="00E644FF">
      <w:pPr>
        <w:pStyle w:val="Title"/>
        <w:ind w:left="360" w:right="360"/>
        <w:rPr>
          <w:rFonts w:ascii="Book Antiqua" w:hAnsi="Book Antiqua"/>
          <w:bCs w:val="0"/>
          <w:sz w:val="22"/>
          <w:szCs w:val="22"/>
        </w:rPr>
      </w:pPr>
      <w:r w:rsidRPr="00313C1C">
        <w:rPr>
          <w:rFonts w:ascii="Book Antiqua" w:hAnsi="Book Antiqua"/>
          <w:sz w:val="22"/>
          <w:szCs w:val="22"/>
        </w:rPr>
        <w:t>April 20</w:t>
      </w:r>
      <w:r w:rsidR="00132332" w:rsidRPr="00313C1C">
        <w:rPr>
          <w:rFonts w:ascii="Book Antiqua" w:hAnsi="Book Antiqua"/>
          <w:sz w:val="22"/>
          <w:szCs w:val="22"/>
        </w:rPr>
        <w:t>20</w:t>
      </w:r>
    </w:p>
    <w:p w14:paraId="4B8ABB46" w14:textId="77777777" w:rsidR="00E644FF" w:rsidRPr="00313C1C" w:rsidRDefault="00E644FF" w:rsidP="00E644FF">
      <w:pPr>
        <w:pStyle w:val="Title"/>
        <w:ind w:right="360"/>
        <w:jc w:val="left"/>
        <w:rPr>
          <w:rFonts w:ascii="Book Antiqua" w:hAnsi="Book Antiqua"/>
          <w:b w:val="0"/>
          <w:bCs w:val="0"/>
          <w:sz w:val="22"/>
          <w:szCs w:val="22"/>
        </w:rPr>
      </w:pPr>
    </w:p>
    <w:p w14:paraId="243F5050" w14:textId="77777777" w:rsidR="00E644FF" w:rsidRPr="00313C1C" w:rsidRDefault="00E644FF" w:rsidP="00E644FF">
      <w:pPr>
        <w:jc w:val="center"/>
        <w:rPr>
          <w:rFonts w:ascii="Book Antiqua" w:hAnsi="Book Antiqua"/>
          <w:sz w:val="22"/>
          <w:szCs w:val="22"/>
          <w:u w:val="single"/>
        </w:rPr>
      </w:pPr>
      <w:r w:rsidRPr="00313C1C">
        <w:rPr>
          <w:rFonts w:ascii="Book Antiqua" w:hAnsi="Book Antiqua"/>
          <w:sz w:val="22"/>
          <w:szCs w:val="22"/>
          <w:u w:val="single"/>
        </w:rPr>
        <w:t>Introduction</w:t>
      </w:r>
    </w:p>
    <w:p w14:paraId="2BF8C569" w14:textId="77777777" w:rsidR="00E644FF" w:rsidRPr="00313C1C" w:rsidRDefault="00E644FF" w:rsidP="00E644FF">
      <w:pPr>
        <w:jc w:val="center"/>
        <w:rPr>
          <w:rFonts w:ascii="Book Antiqua" w:hAnsi="Book Antiqua"/>
          <w:sz w:val="22"/>
          <w:szCs w:val="22"/>
          <w:u w:val="single"/>
        </w:rPr>
      </w:pPr>
    </w:p>
    <w:p w14:paraId="01BA1767" w14:textId="51796708" w:rsidR="00E644FF" w:rsidRPr="00313C1C" w:rsidRDefault="00E644FF" w:rsidP="00E644FF">
      <w:pPr>
        <w:pStyle w:val="Header"/>
        <w:tabs>
          <w:tab w:val="clear" w:pos="4320"/>
          <w:tab w:val="clear" w:pos="8640"/>
        </w:tabs>
        <w:rPr>
          <w:rFonts w:ascii="Book Antiqua" w:hAnsi="Book Antiqua"/>
          <w:sz w:val="22"/>
          <w:szCs w:val="22"/>
        </w:rPr>
      </w:pPr>
      <w:r w:rsidRPr="00313C1C">
        <w:rPr>
          <w:rFonts w:ascii="Book Antiqua" w:hAnsi="Book Antiqua"/>
          <w:sz w:val="22"/>
          <w:szCs w:val="22"/>
        </w:rPr>
        <w:t xml:space="preserve">This notice includes important information about the funding status of your multiemployer pension plan (the “Plan”).  It also includes general information about the benefit payments guaranteed by the Pension Benefit Guaranty Corporation (“PBGC”), a federal insurance agency.  All traditional pension plans (called “defined benefit pension plans”) must provide this notice every year regardless of their funding status.  </w:t>
      </w:r>
      <w:r w:rsidRPr="00313C1C">
        <w:rPr>
          <w:rFonts w:ascii="Book Antiqua" w:hAnsi="Book Antiqua"/>
          <w:b/>
          <w:sz w:val="22"/>
          <w:szCs w:val="22"/>
          <w:u w:val="single"/>
        </w:rPr>
        <w:t>This notice does not mean that the Plan is terminating.</w:t>
      </w:r>
      <w:r w:rsidRPr="00313C1C">
        <w:rPr>
          <w:rFonts w:ascii="Book Antiqua" w:hAnsi="Book Antiqua"/>
          <w:sz w:val="22"/>
          <w:szCs w:val="22"/>
        </w:rPr>
        <w:t xml:space="preserve">  </w:t>
      </w:r>
      <w:r w:rsidRPr="00313C1C">
        <w:rPr>
          <w:rFonts w:ascii="Book Antiqua" w:hAnsi="Book Antiqua"/>
          <w:b/>
          <w:sz w:val="22"/>
          <w:szCs w:val="22"/>
          <w:u w:val="single"/>
        </w:rPr>
        <w:t>It is provided for informational purposes and you are not required to respond in any way.</w:t>
      </w:r>
      <w:r w:rsidRPr="00313C1C">
        <w:rPr>
          <w:rFonts w:ascii="Book Antiqua" w:hAnsi="Book Antiqua"/>
          <w:b/>
          <w:sz w:val="22"/>
          <w:szCs w:val="22"/>
        </w:rPr>
        <w:t xml:space="preserve"> </w:t>
      </w:r>
      <w:r w:rsidRPr="00313C1C">
        <w:rPr>
          <w:rFonts w:ascii="Book Antiqua" w:hAnsi="Book Antiqua"/>
          <w:sz w:val="22"/>
          <w:szCs w:val="22"/>
        </w:rPr>
        <w:t xml:space="preserve"> </w:t>
      </w:r>
      <w:r w:rsidRPr="00B26168">
        <w:rPr>
          <w:rFonts w:ascii="Book Antiqua" w:hAnsi="Book Antiqua"/>
          <w:b/>
          <w:sz w:val="22"/>
          <w:szCs w:val="22"/>
          <w:u w:val="single"/>
        </w:rPr>
        <w:t>This notice is required by federal law</w:t>
      </w:r>
      <w:r w:rsidRPr="00313C1C">
        <w:rPr>
          <w:rFonts w:ascii="Book Antiqua" w:hAnsi="Book Antiqua"/>
          <w:b/>
          <w:sz w:val="22"/>
          <w:szCs w:val="22"/>
        </w:rPr>
        <w:t xml:space="preserve">. </w:t>
      </w:r>
      <w:r w:rsidRPr="00313C1C">
        <w:rPr>
          <w:rFonts w:ascii="Book Antiqua" w:hAnsi="Book Antiqua"/>
          <w:sz w:val="22"/>
          <w:szCs w:val="22"/>
        </w:rPr>
        <w:t xml:space="preserve"> This notice is for the plan year beginning January 1, 201</w:t>
      </w:r>
      <w:r w:rsidR="00132332" w:rsidRPr="00313C1C">
        <w:rPr>
          <w:rFonts w:ascii="Book Antiqua" w:hAnsi="Book Antiqua"/>
          <w:sz w:val="22"/>
          <w:szCs w:val="22"/>
        </w:rPr>
        <w:t>9</w:t>
      </w:r>
      <w:r w:rsidRPr="00313C1C">
        <w:rPr>
          <w:rFonts w:ascii="Book Antiqua" w:hAnsi="Book Antiqua"/>
          <w:sz w:val="22"/>
          <w:szCs w:val="22"/>
        </w:rPr>
        <w:t xml:space="preserve"> and ending December 31, 201</w:t>
      </w:r>
      <w:r w:rsidR="00132332" w:rsidRPr="00313C1C">
        <w:rPr>
          <w:rFonts w:ascii="Book Antiqua" w:hAnsi="Book Antiqua"/>
          <w:sz w:val="22"/>
          <w:szCs w:val="22"/>
        </w:rPr>
        <w:t>9</w:t>
      </w:r>
      <w:r w:rsidRPr="00313C1C">
        <w:rPr>
          <w:rFonts w:ascii="Book Antiqua" w:hAnsi="Book Antiqua"/>
          <w:sz w:val="22"/>
          <w:szCs w:val="22"/>
        </w:rPr>
        <w:t xml:space="preserve"> (“Plan Year”).</w:t>
      </w:r>
    </w:p>
    <w:p w14:paraId="5B207E1E" w14:textId="77777777" w:rsidR="00E644FF" w:rsidRPr="00313C1C" w:rsidRDefault="00E644FF" w:rsidP="00E644FF">
      <w:pPr>
        <w:rPr>
          <w:rFonts w:ascii="Book Antiqua" w:hAnsi="Book Antiqua"/>
          <w:b/>
          <w:bCs/>
          <w:sz w:val="22"/>
          <w:szCs w:val="22"/>
          <w:u w:val="single"/>
        </w:rPr>
      </w:pPr>
    </w:p>
    <w:p w14:paraId="08932B7B" w14:textId="77777777" w:rsidR="00E644FF" w:rsidRPr="00F35B3E" w:rsidRDefault="00E644FF" w:rsidP="00E644FF">
      <w:pPr>
        <w:jc w:val="center"/>
        <w:rPr>
          <w:rFonts w:ascii="Book Antiqua" w:hAnsi="Book Antiqua"/>
          <w:sz w:val="22"/>
          <w:szCs w:val="22"/>
        </w:rPr>
      </w:pPr>
      <w:r w:rsidRPr="00313C1C">
        <w:rPr>
          <w:rFonts w:ascii="Book Antiqua" w:hAnsi="Book Antiqua"/>
          <w:b/>
          <w:bCs/>
          <w:sz w:val="22"/>
          <w:szCs w:val="22"/>
          <w:u w:val="single"/>
        </w:rPr>
        <w:t>How Well Funded Is Your Plan</w:t>
      </w:r>
    </w:p>
    <w:p w14:paraId="10F7CB5A" w14:textId="77777777" w:rsidR="00E644FF" w:rsidRPr="00313C1C" w:rsidRDefault="00E644FF" w:rsidP="00E644FF">
      <w:pPr>
        <w:rPr>
          <w:rFonts w:ascii="Book Antiqua" w:hAnsi="Book Antiqua"/>
          <w:sz w:val="22"/>
          <w:szCs w:val="22"/>
        </w:rPr>
      </w:pPr>
    </w:p>
    <w:p w14:paraId="0D4101FB" w14:textId="77777777" w:rsidR="00E644FF" w:rsidRPr="00F35B3E" w:rsidRDefault="00E644FF" w:rsidP="00E644FF">
      <w:pPr>
        <w:rPr>
          <w:rFonts w:ascii="Book Antiqua" w:hAnsi="Book Antiqua"/>
          <w:sz w:val="22"/>
          <w:szCs w:val="22"/>
        </w:rPr>
      </w:pPr>
      <w:r w:rsidRPr="00F35B3E">
        <w:rPr>
          <w:rFonts w:ascii="Book Antiqua" w:hAnsi="Book Antiqua"/>
          <w:sz w:val="22"/>
          <w:szCs w:val="22"/>
        </w:rPr>
        <w:t xml:space="preserve">The law requires the administrator of the Plan to tell you how well the Plan is funded, using a measure called the “funded percentage.”  The Plan divides its assets by its liabilities on the Valuation Date for the plan year to get this percentage.  In general, the higher the percentage, the better funded the plan.  The Plan’s funded percentage for the Plan Year and each of the two preceding plan years is shown in the chart below.  The chart also states the value of the Plan’s assets and liabilities for the same period. </w:t>
      </w:r>
    </w:p>
    <w:p w14:paraId="11F5BC33" w14:textId="77777777" w:rsidR="00E644FF" w:rsidRPr="00F35B3E" w:rsidRDefault="00E644FF" w:rsidP="00E644FF">
      <w:pPr>
        <w:rPr>
          <w:rFonts w:ascii="Book Antiqua" w:hAnsi="Book Antiqu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304"/>
        <w:gridCol w:w="2304"/>
        <w:gridCol w:w="2304"/>
      </w:tblGrid>
      <w:tr w:rsidR="00E644FF" w:rsidRPr="00313C1C" w14:paraId="4062EA5B" w14:textId="77777777" w:rsidTr="00F6496A">
        <w:tc>
          <w:tcPr>
            <w:tcW w:w="9162" w:type="dxa"/>
            <w:gridSpan w:val="4"/>
          </w:tcPr>
          <w:p w14:paraId="1B41A4FB" w14:textId="77777777" w:rsidR="00E644FF" w:rsidRPr="00F35B3E" w:rsidRDefault="00E644FF" w:rsidP="00F6496A">
            <w:pPr>
              <w:jc w:val="center"/>
              <w:rPr>
                <w:rFonts w:ascii="Book Antiqua" w:hAnsi="Book Antiqua"/>
                <w:b/>
                <w:sz w:val="22"/>
                <w:szCs w:val="22"/>
              </w:rPr>
            </w:pPr>
            <w:r w:rsidRPr="00F35B3E">
              <w:rPr>
                <w:rFonts w:ascii="Book Antiqua" w:hAnsi="Book Antiqua"/>
                <w:b/>
                <w:sz w:val="22"/>
                <w:szCs w:val="22"/>
              </w:rPr>
              <w:t>Funded Percentage</w:t>
            </w:r>
          </w:p>
        </w:tc>
      </w:tr>
      <w:tr w:rsidR="00E644FF" w:rsidRPr="00313C1C" w14:paraId="6B0F9E59" w14:textId="77777777" w:rsidTr="00F6496A">
        <w:tc>
          <w:tcPr>
            <w:tcW w:w="2250" w:type="dxa"/>
          </w:tcPr>
          <w:p w14:paraId="2DC56F3D" w14:textId="77777777" w:rsidR="00E644FF" w:rsidRPr="00313C1C" w:rsidRDefault="00E644FF" w:rsidP="00F6496A">
            <w:pPr>
              <w:rPr>
                <w:rFonts w:ascii="Book Antiqua" w:hAnsi="Book Antiqua"/>
                <w:b/>
                <w:sz w:val="22"/>
                <w:szCs w:val="22"/>
                <w:highlight w:val="yellow"/>
              </w:rPr>
            </w:pPr>
          </w:p>
        </w:tc>
        <w:tc>
          <w:tcPr>
            <w:tcW w:w="2304" w:type="dxa"/>
          </w:tcPr>
          <w:p w14:paraId="0A494A42" w14:textId="4184BB9B" w:rsidR="00E644FF" w:rsidRPr="00B10FBE" w:rsidRDefault="00E644FF" w:rsidP="00E45A8B">
            <w:pPr>
              <w:jc w:val="center"/>
              <w:rPr>
                <w:rFonts w:ascii="Book Antiqua" w:hAnsi="Book Antiqua"/>
                <w:b/>
                <w:sz w:val="22"/>
                <w:szCs w:val="22"/>
              </w:rPr>
            </w:pPr>
            <w:r w:rsidRPr="00B10FBE">
              <w:rPr>
                <w:rFonts w:ascii="Book Antiqua" w:hAnsi="Book Antiqua"/>
                <w:sz w:val="22"/>
                <w:szCs w:val="22"/>
              </w:rPr>
              <w:t>201</w:t>
            </w:r>
            <w:r w:rsidR="00132332" w:rsidRPr="00B10FBE">
              <w:rPr>
                <w:rFonts w:ascii="Book Antiqua" w:hAnsi="Book Antiqua"/>
                <w:sz w:val="22"/>
                <w:szCs w:val="22"/>
              </w:rPr>
              <w:t>9</w:t>
            </w:r>
            <w:r w:rsidRPr="00B10FBE">
              <w:rPr>
                <w:rFonts w:ascii="Book Antiqua" w:hAnsi="Book Antiqua"/>
                <w:sz w:val="22"/>
                <w:szCs w:val="22"/>
              </w:rPr>
              <w:t xml:space="preserve"> Plan Year</w:t>
            </w:r>
          </w:p>
        </w:tc>
        <w:tc>
          <w:tcPr>
            <w:tcW w:w="2304" w:type="dxa"/>
            <w:tcBorders>
              <w:bottom w:val="single" w:sz="4" w:space="0" w:color="auto"/>
            </w:tcBorders>
          </w:tcPr>
          <w:p w14:paraId="38B28A50" w14:textId="1C1E0074" w:rsidR="00E644FF" w:rsidRPr="00F96EC6" w:rsidRDefault="00E644FF" w:rsidP="000C4B7B">
            <w:pPr>
              <w:jc w:val="center"/>
              <w:rPr>
                <w:rFonts w:ascii="Book Antiqua" w:hAnsi="Book Antiqua"/>
                <w:i/>
                <w:sz w:val="22"/>
                <w:szCs w:val="22"/>
              </w:rPr>
            </w:pPr>
            <w:r w:rsidRPr="00B10FBE">
              <w:rPr>
                <w:rFonts w:ascii="Book Antiqua" w:hAnsi="Book Antiqua"/>
                <w:sz w:val="22"/>
                <w:szCs w:val="22"/>
              </w:rPr>
              <w:t>201</w:t>
            </w:r>
            <w:r w:rsidR="00132332" w:rsidRPr="00B10FBE">
              <w:rPr>
                <w:rFonts w:ascii="Book Antiqua" w:hAnsi="Book Antiqua"/>
                <w:sz w:val="22"/>
                <w:szCs w:val="22"/>
              </w:rPr>
              <w:t>8</w:t>
            </w:r>
            <w:r w:rsidRPr="00F96EC6">
              <w:rPr>
                <w:rFonts w:ascii="Book Antiqua" w:hAnsi="Book Antiqua"/>
                <w:sz w:val="22"/>
                <w:szCs w:val="22"/>
              </w:rPr>
              <w:t xml:space="preserve"> Plan Year</w:t>
            </w:r>
          </w:p>
        </w:tc>
        <w:tc>
          <w:tcPr>
            <w:tcW w:w="2304" w:type="dxa"/>
            <w:tcBorders>
              <w:bottom w:val="single" w:sz="4" w:space="0" w:color="auto"/>
            </w:tcBorders>
          </w:tcPr>
          <w:p w14:paraId="3470EBB7" w14:textId="46041F22" w:rsidR="00E644FF" w:rsidRPr="00313C1C" w:rsidRDefault="00E644FF" w:rsidP="00E45A8B">
            <w:pPr>
              <w:jc w:val="center"/>
              <w:rPr>
                <w:rFonts w:ascii="Book Antiqua" w:hAnsi="Book Antiqua"/>
                <w:i/>
                <w:sz w:val="22"/>
                <w:szCs w:val="22"/>
              </w:rPr>
            </w:pPr>
            <w:r w:rsidRPr="00313C1C">
              <w:rPr>
                <w:rFonts w:ascii="Book Antiqua" w:hAnsi="Book Antiqua"/>
                <w:sz w:val="22"/>
                <w:szCs w:val="22"/>
              </w:rPr>
              <w:t>201</w:t>
            </w:r>
            <w:r w:rsidR="00132332" w:rsidRPr="00313C1C">
              <w:rPr>
                <w:rFonts w:ascii="Book Antiqua" w:hAnsi="Book Antiqua"/>
                <w:sz w:val="22"/>
                <w:szCs w:val="22"/>
              </w:rPr>
              <w:t>7</w:t>
            </w:r>
            <w:r w:rsidRPr="00313C1C">
              <w:rPr>
                <w:rFonts w:ascii="Book Antiqua" w:hAnsi="Book Antiqua"/>
                <w:sz w:val="22"/>
                <w:szCs w:val="22"/>
              </w:rPr>
              <w:t xml:space="preserve"> Plan Year</w:t>
            </w:r>
          </w:p>
        </w:tc>
      </w:tr>
      <w:tr w:rsidR="00E45A8B" w:rsidRPr="00F35B3E" w14:paraId="5E223BD2" w14:textId="77777777" w:rsidTr="00F6496A">
        <w:tc>
          <w:tcPr>
            <w:tcW w:w="2250" w:type="dxa"/>
          </w:tcPr>
          <w:p w14:paraId="513AB87D" w14:textId="77777777" w:rsidR="00E45A8B" w:rsidRPr="00313C1C" w:rsidRDefault="00E45A8B" w:rsidP="00E45A8B">
            <w:pPr>
              <w:rPr>
                <w:rFonts w:ascii="Book Antiqua" w:hAnsi="Book Antiqua"/>
                <w:sz w:val="22"/>
                <w:szCs w:val="22"/>
              </w:rPr>
            </w:pPr>
            <w:r w:rsidRPr="00313C1C">
              <w:rPr>
                <w:rFonts w:ascii="Book Antiqua" w:hAnsi="Book Antiqua"/>
                <w:sz w:val="22"/>
                <w:szCs w:val="22"/>
              </w:rPr>
              <w:t>Valuation Date</w:t>
            </w:r>
          </w:p>
        </w:tc>
        <w:tc>
          <w:tcPr>
            <w:tcW w:w="2304" w:type="dxa"/>
          </w:tcPr>
          <w:p w14:paraId="54C46C80" w14:textId="71234354" w:rsidR="00E45A8B" w:rsidRPr="00F35B3E" w:rsidRDefault="000C4B7B" w:rsidP="00E45A8B">
            <w:pPr>
              <w:jc w:val="center"/>
              <w:rPr>
                <w:rFonts w:ascii="Book Antiqua" w:hAnsi="Book Antiqua"/>
                <w:sz w:val="22"/>
                <w:szCs w:val="22"/>
              </w:rPr>
            </w:pPr>
            <w:r w:rsidRPr="00F35B3E">
              <w:rPr>
                <w:rFonts w:ascii="Book Antiqua" w:hAnsi="Book Antiqua"/>
                <w:sz w:val="22"/>
                <w:szCs w:val="22"/>
              </w:rPr>
              <w:t>January 1, 201</w:t>
            </w:r>
            <w:r w:rsidR="00132332" w:rsidRPr="00F35B3E">
              <w:rPr>
                <w:rFonts w:ascii="Book Antiqua" w:hAnsi="Book Antiqua"/>
                <w:sz w:val="22"/>
                <w:szCs w:val="22"/>
              </w:rPr>
              <w:t>9</w:t>
            </w:r>
          </w:p>
        </w:tc>
        <w:tc>
          <w:tcPr>
            <w:tcW w:w="2304" w:type="dxa"/>
            <w:shd w:val="clear" w:color="auto" w:fill="auto"/>
          </w:tcPr>
          <w:p w14:paraId="0E834338" w14:textId="7B185FE1" w:rsidR="00E45A8B" w:rsidRPr="00F35B3E" w:rsidRDefault="000C4B7B" w:rsidP="00E45A8B">
            <w:pPr>
              <w:jc w:val="center"/>
              <w:rPr>
                <w:rFonts w:ascii="Book Antiqua" w:hAnsi="Book Antiqua"/>
                <w:sz w:val="22"/>
                <w:szCs w:val="22"/>
              </w:rPr>
            </w:pPr>
            <w:r w:rsidRPr="00F35B3E">
              <w:rPr>
                <w:rFonts w:ascii="Book Antiqua" w:hAnsi="Book Antiqua"/>
                <w:sz w:val="22"/>
                <w:szCs w:val="22"/>
              </w:rPr>
              <w:t>January 1, 201</w:t>
            </w:r>
            <w:r w:rsidR="00132332" w:rsidRPr="00F35B3E">
              <w:rPr>
                <w:rFonts w:ascii="Book Antiqua" w:hAnsi="Book Antiqua"/>
                <w:sz w:val="22"/>
                <w:szCs w:val="22"/>
              </w:rPr>
              <w:t>8</w:t>
            </w:r>
          </w:p>
        </w:tc>
        <w:tc>
          <w:tcPr>
            <w:tcW w:w="2304" w:type="dxa"/>
            <w:shd w:val="clear" w:color="auto" w:fill="auto"/>
          </w:tcPr>
          <w:p w14:paraId="5CB67137" w14:textId="199EC5D6" w:rsidR="00E45A8B" w:rsidRPr="00F35B3E" w:rsidRDefault="00E45A8B" w:rsidP="00E45A8B">
            <w:pPr>
              <w:jc w:val="center"/>
              <w:rPr>
                <w:rFonts w:ascii="Book Antiqua" w:hAnsi="Book Antiqua"/>
                <w:sz w:val="22"/>
                <w:szCs w:val="22"/>
              </w:rPr>
            </w:pPr>
            <w:r w:rsidRPr="00F35B3E">
              <w:rPr>
                <w:rFonts w:ascii="Book Antiqua" w:hAnsi="Book Antiqua"/>
                <w:sz w:val="22"/>
                <w:szCs w:val="22"/>
              </w:rPr>
              <w:t>January 1, 201</w:t>
            </w:r>
            <w:r w:rsidR="00132332" w:rsidRPr="00F35B3E">
              <w:rPr>
                <w:rFonts w:ascii="Book Antiqua" w:hAnsi="Book Antiqua"/>
                <w:sz w:val="22"/>
                <w:szCs w:val="22"/>
              </w:rPr>
              <w:t>7</w:t>
            </w:r>
          </w:p>
        </w:tc>
      </w:tr>
      <w:tr w:rsidR="000C4B7B" w:rsidRPr="00313C1C" w14:paraId="41607FD9" w14:textId="77777777" w:rsidTr="00F6496A">
        <w:tc>
          <w:tcPr>
            <w:tcW w:w="2250" w:type="dxa"/>
          </w:tcPr>
          <w:p w14:paraId="625DD642" w14:textId="77777777" w:rsidR="000C4B7B" w:rsidRPr="00313C1C" w:rsidRDefault="000C4B7B" w:rsidP="000C4B7B">
            <w:pPr>
              <w:rPr>
                <w:rFonts w:ascii="Book Antiqua" w:hAnsi="Book Antiqua"/>
                <w:sz w:val="22"/>
                <w:szCs w:val="22"/>
              </w:rPr>
            </w:pPr>
            <w:r w:rsidRPr="00313C1C">
              <w:rPr>
                <w:rFonts w:ascii="Book Antiqua" w:hAnsi="Book Antiqua"/>
                <w:sz w:val="22"/>
                <w:szCs w:val="22"/>
              </w:rPr>
              <w:t>Funded Percentage</w:t>
            </w:r>
          </w:p>
        </w:tc>
        <w:tc>
          <w:tcPr>
            <w:tcW w:w="2304" w:type="dxa"/>
          </w:tcPr>
          <w:p w14:paraId="44F17C31" w14:textId="70DAF2CF" w:rsidR="000C4B7B" w:rsidRPr="00B10FBE" w:rsidRDefault="00132332" w:rsidP="000C4B7B">
            <w:pPr>
              <w:jc w:val="center"/>
              <w:rPr>
                <w:rFonts w:ascii="Book Antiqua" w:hAnsi="Book Antiqua"/>
                <w:sz w:val="22"/>
                <w:szCs w:val="22"/>
              </w:rPr>
            </w:pPr>
            <w:r w:rsidRPr="00B10FBE">
              <w:rPr>
                <w:rFonts w:ascii="Book Antiqua" w:hAnsi="Book Antiqua"/>
                <w:sz w:val="22"/>
                <w:szCs w:val="22"/>
              </w:rPr>
              <w:t>55.3%</w:t>
            </w:r>
          </w:p>
        </w:tc>
        <w:tc>
          <w:tcPr>
            <w:tcW w:w="2304" w:type="dxa"/>
            <w:shd w:val="clear" w:color="auto" w:fill="auto"/>
          </w:tcPr>
          <w:p w14:paraId="7F3631F3" w14:textId="64512FAC" w:rsidR="000C4B7B" w:rsidRPr="00B10FBE" w:rsidRDefault="00132332" w:rsidP="000C4B7B">
            <w:pPr>
              <w:jc w:val="center"/>
              <w:rPr>
                <w:rFonts w:ascii="Book Antiqua" w:hAnsi="Book Antiqua"/>
                <w:sz w:val="22"/>
                <w:szCs w:val="22"/>
              </w:rPr>
            </w:pPr>
            <w:r w:rsidRPr="00B10FBE">
              <w:rPr>
                <w:rFonts w:ascii="Book Antiqua" w:hAnsi="Book Antiqua"/>
                <w:sz w:val="22"/>
                <w:szCs w:val="22"/>
              </w:rPr>
              <w:t>68.7%</w:t>
            </w:r>
          </w:p>
        </w:tc>
        <w:tc>
          <w:tcPr>
            <w:tcW w:w="2304" w:type="dxa"/>
            <w:shd w:val="clear" w:color="auto" w:fill="auto"/>
          </w:tcPr>
          <w:p w14:paraId="5D27226C" w14:textId="0207122E" w:rsidR="000C4B7B" w:rsidRPr="00B10FBE" w:rsidRDefault="00132332" w:rsidP="000C4B7B">
            <w:pPr>
              <w:jc w:val="center"/>
              <w:rPr>
                <w:rFonts w:ascii="Book Antiqua" w:hAnsi="Book Antiqua"/>
                <w:sz w:val="22"/>
                <w:szCs w:val="22"/>
              </w:rPr>
            </w:pPr>
            <w:r w:rsidRPr="00B10FBE">
              <w:rPr>
                <w:rFonts w:ascii="Book Antiqua" w:hAnsi="Book Antiqua"/>
                <w:sz w:val="22"/>
                <w:szCs w:val="22"/>
              </w:rPr>
              <w:t>67.1%</w:t>
            </w:r>
          </w:p>
        </w:tc>
      </w:tr>
      <w:tr w:rsidR="000C4B7B" w:rsidRPr="00313C1C" w14:paraId="6FA7FDAA" w14:textId="77777777" w:rsidTr="00F6496A">
        <w:tc>
          <w:tcPr>
            <w:tcW w:w="2250" w:type="dxa"/>
          </w:tcPr>
          <w:p w14:paraId="2E156FEA" w14:textId="460F79D0" w:rsidR="000C4B7B" w:rsidRPr="00313C1C" w:rsidRDefault="000C4B7B" w:rsidP="00D73B1E">
            <w:pPr>
              <w:rPr>
                <w:rFonts w:ascii="Book Antiqua" w:hAnsi="Book Antiqua"/>
                <w:sz w:val="22"/>
                <w:szCs w:val="22"/>
              </w:rPr>
            </w:pPr>
            <w:r w:rsidRPr="00313C1C">
              <w:rPr>
                <w:rFonts w:ascii="Book Antiqua" w:hAnsi="Book Antiqua"/>
                <w:sz w:val="22"/>
                <w:szCs w:val="22"/>
              </w:rPr>
              <w:t xml:space="preserve">Value of Assets </w:t>
            </w:r>
          </w:p>
        </w:tc>
        <w:tc>
          <w:tcPr>
            <w:tcW w:w="2304" w:type="dxa"/>
          </w:tcPr>
          <w:p w14:paraId="077333CF" w14:textId="52390ADA" w:rsidR="000C4B7B" w:rsidRPr="00B10FBE" w:rsidRDefault="00132332" w:rsidP="000C4B7B">
            <w:pPr>
              <w:jc w:val="center"/>
              <w:rPr>
                <w:rFonts w:ascii="Book Antiqua" w:hAnsi="Book Antiqua"/>
                <w:sz w:val="22"/>
                <w:szCs w:val="22"/>
              </w:rPr>
            </w:pPr>
            <w:r w:rsidRPr="00B10FBE">
              <w:rPr>
                <w:rFonts w:ascii="Book Antiqua" w:hAnsi="Book Antiqua"/>
                <w:sz w:val="22"/>
                <w:szCs w:val="22"/>
              </w:rPr>
              <w:t>$550,350,362</w:t>
            </w:r>
          </w:p>
        </w:tc>
        <w:tc>
          <w:tcPr>
            <w:tcW w:w="2304" w:type="dxa"/>
            <w:shd w:val="clear" w:color="auto" w:fill="auto"/>
          </w:tcPr>
          <w:p w14:paraId="22D4973F" w14:textId="6001591A" w:rsidR="000C4B7B" w:rsidRPr="00B10FBE" w:rsidRDefault="000C4B7B" w:rsidP="00132332">
            <w:pPr>
              <w:jc w:val="center"/>
              <w:rPr>
                <w:rFonts w:ascii="Book Antiqua" w:hAnsi="Book Antiqua"/>
                <w:sz w:val="22"/>
                <w:szCs w:val="22"/>
              </w:rPr>
            </w:pPr>
            <w:r w:rsidRPr="00B10FBE">
              <w:rPr>
                <w:rFonts w:ascii="Book Antiqua" w:hAnsi="Book Antiqua"/>
                <w:sz w:val="22"/>
                <w:szCs w:val="22"/>
              </w:rPr>
              <w:t>$</w:t>
            </w:r>
            <w:r w:rsidR="00132332" w:rsidRPr="00B10FBE">
              <w:rPr>
                <w:rFonts w:ascii="Book Antiqua" w:hAnsi="Book Antiqua"/>
                <w:sz w:val="22"/>
                <w:szCs w:val="22"/>
              </w:rPr>
              <w:t>653,823,420</w:t>
            </w:r>
          </w:p>
          <w:p w14:paraId="699750D5" w14:textId="063B0FAA" w:rsidR="00132332" w:rsidRPr="00B10FBE" w:rsidRDefault="00132332" w:rsidP="00132332">
            <w:pPr>
              <w:jc w:val="center"/>
              <w:rPr>
                <w:rFonts w:ascii="Book Antiqua" w:hAnsi="Book Antiqua"/>
                <w:sz w:val="22"/>
                <w:szCs w:val="22"/>
              </w:rPr>
            </w:pPr>
          </w:p>
        </w:tc>
        <w:tc>
          <w:tcPr>
            <w:tcW w:w="2304" w:type="dxa"/>
            <w:shd w:val="clear" w:color="auto" w:fill="auto"/>
          </w:tcPr>
          <w:p w14:paraId="6D04E3E7" w14:textId="212CD139" w:rsidR="00132332" w:rsidRPr="00313C1C" w:rsidRDefault="000C4B7B" w:rsidP="002332EC">
            <w:pPr>
              <w:jc w:val="center"/>
              <w:rPr>
                <w:rFonts w:ascii="Book Antiqua" w:hAnsi="Book Antiqua"/>
                <w:sz w:val="22"/>
                <w:szCs w:val="22"/>
              </w:rPr>
            </w:pPr>
            <w:r w:rsidRPr="00F96EC6">
              <w:rPr>
                <w:rFonts w:ascii="Book Antiqua" w:hAnsi="Book Antiqua"/>
                <w:sz w:val="22"/>
                <w:szCs w:val="22"/>
              </w:rPr>
              <w:t>$</w:t>
            </w:r>
            <w:r w:rsidR="00132332" w:rsidRPr="00F96EC6">
              <w:rPr>
                <w:rFonts w:ascii="Book Antiqua" w:hAnsi="Book Antiqua"/>
                <w:sz w:val="22"/>
                <w:szCs w:val="22"/>
              </w:rPr>
              <w:t>651,088,883</w:t>
            </w:r>
          </w:p>
        </w:tc>
      </w:tr>
      <w:tr w:rsidR="000C4B7B" w:rsidRPr="00313C1C" w14:paraId="711277ED" w14:textId="77777777" w:rsidTr="00F6496A">
        <w:tc>
          <w:tcPr>
            <w:tcW w:w="2250" w:type="dxa"/>
          </w:tcPr>
          <w:p w14:paraId="1ABB6091" w14:textId="50BAFEFD" w:rsidR="000C4B7B" w:rsidRPr="00313C1C" w:rsidRDefault="000C4B7B" w:rsidP="000C4B7B">
            <w:pPr>
              <w:rPr>
                <w:rFonts w:ascii="Book Antiqua" w:hAnsi="Book Antiqua"/>
                <w:sz w:val="22"/>
                <w:szCs w:val="22"/>
              </w:rPr>
            </w:pPr>
            <w:r w:rsidRPr="00313C1C">
              <w:rPr>
                <w:rFonts w:ascii="Book Antiqua" w:hAnsi="Book Antiqua"/>
                <w:sz w:val="22"/>
                <w:szCs w:val="22"/>
              </w:rPr>
              <w:t>Value of Liabilities</w:t>
            </w:r>
          </w:p>
        </w:tc>
        <w:tc>
          <w:tcPr>
            <w:tcW w:w="2304" w:type="dxa"/>
          </w:tcPr>
          <w:p w14:paraId="75A68D85" w14:textId="2F8161F0" w:rsidR="000C4B7B" w:rsidRPr="00B10FBE" w:rsidRDefault="00132332" w:rsidP="000C4B7B">
            <w:pPr>
              <w:jc w:val="center"/>
              <w:rPr>
                <w:rFonts w:ascii="Book Antiqua" w:hAnsi="Book Antiqua"/>
                <w:sz w:val="22"/>
                <w:szCs w:val="22"/>
              </w:rPr>
            </w:pPr>
            <w:r w:rsidRPr="00B10FBE">
              <w:rPr>
                <w:rFonts w:ascii="Book Antiqua" w:hAnsi="Book Antiqua"/>
                <w:sz w:val="22"/>
                <w:szCs w:val="22"/>
              </w:rPr>
              <w:t>$995,832,869</w:t>
            </w:r>
          </w:p>
          <w:p w14:paraId="21744D41" w14:textId="6BDC188B" w:rsidR="00132332" w:rsidRPr="00B10FBE" w:rsidRDefault="00132332" w:rsidP="000C4B7B">
            <w:pPr>
              <w:jc w:val="center"/>
              <w:rPr>
                <w:rFonts w:ascii="Book Antiqua" w:hAnsi="Book Antiqua"/>
                <w:sz w:val="22"/>
                <w:szCs w:val="22"/>
              </w:rPr>
            </w:pPr>
          </w:p>
        </w:tc>
        <w:tc>
          <w:tcPr>
            <w:tcW w:w="2304" w:type="dxa"/>
            <w:shd w:val="clear" w:color="auto" w:fill="auto"/>
          </w:tcPr>
          <w:p w14:paraId="05C48165" w14:textId="086D2140" w:rsidR="000C4B7B" w:rsidRPr="00F96EC6" w:rsidRDefault="00565915" w:rsidP="000C4B7B">
            <w:pPr>
              <w:jc w:val="center"/>
              <w:rPr>
                <w:rFonts w:ascii="Book Antiqua" w:hAnsi="Book Antiqua"/>
                <w:sz w:val="22"/>
                <w:szCs w:val="22"/>
              </w:rPr>
            </w:pPr>
            <w:r w:rsidRPr="00B10FBE">
              <w:rPr>
                <w:rFonts w:ascii="Book Antiqua" w:hAnsi="Book Antiqua"/>
                <w:sz w:val="22"/>
                <w:szCs w:val="22"/>
              </w:rPr>
              <w:t>$</w:t>
            </w:r>
            <w:r w:rsidR="00132332" w:rsidRPr="00B10FBE">
              <w:rPr>
                <w:rFonts w:ascii="Book Antiqua" w:hAnsi="Book Antiqua"/>
                <w:sz w:val="22"/>
                <w:szCs w:val="22"/>
              </w:rPr>
              <w:t>951,959,329</w:t>
            </w:r>
          </w:p>
        </w:tc>
        <w:tc>
          <w:tcPr>
            <w:tcW w:w="2304" w:type="dxa"/>
            <w:shd w:val="clear" w:color="auto" w:fill="auto"/>
          </w:tcPr>
          <w:p w14:paraId="323C3B71" w14:textId="77777777" w:rsidR="00132332" w:rsidRPr="00313C1C" w:rsidRDefault="000C4B7B" w:rsidP="000C4B7B">
            <w:pPr>
              <w:jc w:val="center"/>
              <w:rPr>
                <w:rFonts w:ascii="Book Antiqua" w:hAnsi="Book Antiqua"/>
                <w:sz w:val="22"/>
                <w:szCs w:val="22"/>
              </w:rPr>
            </w:pPr>
            <w:r w:rsidRPr="00313C1C">
              <w:rPr>
                <w:rFonts w:ascii="Book Antiqua" w:hAnsi="Book Antiqua"/>
                <w:sz w:val="22"/>
                <w:szCs w:val="22"/>
              </w:rPr>
              <w:t>$</w:t>
            </w:r>
            <w:r w:rsidR="00132332" w:rsidRPr="00313C1C">
              <w:rPr>
                <w:rFonts w:ascii="Book Antiqua" w:hAnsi="Book Antiqua"/>
                <w:sz w:val="22"/>
                <w:szCs w:val="22"/>
              </w:rPr>
              <w:t>969,638,153</w:t>
            </w:r>
          </w:p>
          <w:p w14:paraId="5EA4BDCE" w14:textId="4EE28702" w:rsidR="000C4B7B" w:rsidRPr="00313C1C" w:rsidRDefault="000C4B7B" w:rsidP="000C4B7B">
            <w:pPr>
              <w:jc w:val="center"/>
              <w:rPr>
                <w:rFonts w:ascii="Book Antiqua" w:hAnsi="Book Antiqua"/>
                <w:sz w:val="22"/>
                <w:szCs w:val="22"/>
              </w:rPr>
            </w:pPr>
          </w:p>
        </w:tc>
      </w:tr>
    </w:tbl>
    <w:p w14:paraId="758A00D1" w14:textId="77777777" w:rsidR="00B43B61" w:rsidRPr="00F35B3E" w:rsidRDefault="00B43B61" w:rsidP="00E644FF">
      <w:pPr>
        <w:pStyle w:val="Header"/>
        <w:tabs>
          <w:tab w:val="clear" w:pos="4320"/>
          <w:tab w:val="clear" w:pos="8640"/>
        </w:tabs>
        <w:rPr>
          <w:rFonts w:ascii="Book Antiqua" w:hAnsi="Book Antiqua" w:cs="Courier New"/>
          <w:i/>
          <w:sz w:val="22"/>
          <w:szCs w:val="22"/>
        </w:rPr>
      </w:pPr>
    </w:p>
    <w:p w14:paraId="58FB3825" w14:textId="77777777" w:rsidR="00E644FF" w:rsidRPr="00B10FBE" w:rsidRDefault="00E644FF" w:rsidP="00E644FF">
      <w:pPr>
        <w:jc w:val="center"/>
        <w:rPr>
          <w:rFonts w:ascii="Book Antiqua" w:hAnsi="Book Antiqua"/>
          <w:sz w:val="22"/>
          <w:szCs w:val="22"/>
          <w:u w:val="single"/>
        </w:rPr>
      </w:pPr>
      <w:r w:rsidRPr="00B10FBE">
        <w:rPr>
          <w:rFonts w:ascii="Book Antiqua" w:hAnsi="Book Antiqua"/>
          <w:sz w:val="22"/>
          <w:szCs w:val="22"/>
          <w:u w:val="single"/>
        </w:rPr>
        <w:t>Year-End Fair Market Value of Assets</w:t>
      </w:r>
    </w:p>
    <w:p w14:paraId="38A5CE4A" w14:textId="77777777" w:rsidR="00E644FF" w:rsidRPr="00B10FBE" w:rsidRDefault="00E644FF" w:rsidP="00E644FF">
      <w:pPr>
        <w:rPr>
          <w:rFonts w:ascii="Book Antiqua" w:hAnsi="Book Antiqua"/>
          <w:sz w:val="22"/>
          <w:szCs w:val="22"/>
        </w:rPr>
      </w:pPr>
    </w:p>
    <w:p w14:paraId="2D26068B" w14:textId="17518240" w:rsidR="00B43B61" w:rsidRDefault="00E644FF" w:rsidP="00313C1C">
      <w:pPr>
        <w:rPr>
          <w:rFonts w:ascii="Book Antiqua" w:hAnsi="Book Antiqua"/>
          <w:sz w:val="22"/>
          <w:szCs w:val="22"/>
        </w:rPr>
      </w:pPr>
      <w:r w:rsidRPr="00F96EC6">
        <w:rPr>
          <w:rFonts w:ascii="Book Antiqua" w:hAnsi="Book Antiqua"/>
          <w:sz w:val="22"/>
          <w:szCs w:val="22"/>
        </w:rPr>
        <w:t xml:space="preserve">The asset values in the chart below are market values and are measured on the </w:t>
      </w:r>
      <w:r w:rsidR="00313C1C" w:rsidRPr="00313C1C">
        <w:rPr>
          <w:rFonts w:ascii="Book Antiqua" w:hAnsi="Book Antiqua"/>
          <w:sz w:val="22"/>
          <w:szCs w:val="22"/>
        </w:rPr>
        <w:t>last day of the Plan Year.  The chart also includes the year-end market value of the Plan’s assets for each of the two preceding plan years.</w:t>
      </w:r>
    </w:p>
    <w:p w14:paraId="6A07368C" w14:textId="663B56F3" w:rsidR="00313C1C" w:rsidRPr="00313C1C" w:rsidRDefault="00313C1C" w:rsidP="00E644FF">
      <w:pPr>
        <w:rPr>
          <w:rFonts w:ascii="Book Antiqua" w:hAnsi="Book Antiqua"/>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550"/>
        <w:gridCol w:w="2550"/>
        <w:gridCol w:w="2550"/>
      </w:tblGrid>
      <w:tr w:rsidR="0080236E" w:rsidRPr="00313C1C" w14:paraId="74A9BCB3" w14:textId="77777777" w:rsidTr="00F6496A">
        <w:tc>
          <w:tcPr>
            <w:tcW w:w="1890" w:type="dxa"/>
          </w:tcPr>
          <w:p w14:paraId="7C6AC73D" w14:textId="77777777" w:rsidR="000C4B7B" w:rsidRPr="00313C1C" w:rsidRDefault="000C4B7B" w:rsidP="000C4B7B">
            <w:pPr>
              <w:rPr>
                <w:rFonts w:ascii="Book Antiqua" w:hAnsi="Book Antiqua"/>
                <w:b/>
                <w:sz w:val="22"/>
                <w:szCs w:val="22"/>
              </w:rPr>
            </w:pPr>
          </w:p>
        </w:tc>
        <w:tc>
          <w:tcPr>
            <w:tcW w:w="2550" w:type="dxa"/>
          </w:tcPr>
          <w:p w14:paraId="276A646D" w14:textId="0C364F6A" w:rsidR="000C4B7B" w:rsidRPr="00313C1C" w:rsidRDefault="000C4B7B" w:rsidP="000C4B7B">
            <w:pPr>
              <w:jc w:val="center"/>
              <w:rPr>
                <w:rFonts w:ascii="Book Antiqua" w:hAnsi="Book Antiqua"/>
                <w:sz w:val="22"/>
                <w:szCs w:val="22"/>
              </w:rPr>
            </w:pPr>
            <w:r w:rsidRPr="00313C1C">
              <w:rPr>
                <w:rFonts w:ascii="Book Antiqua" w:hAnsi="Book Antiqua"/>
                <w:sz w:val="22"/>
                <w:szCs w:val="22"/>
              </w:rPr>
              <w:t>December 31, 201</w:t>
            </w:r>
            <w:r w:rsidR="00132332" w:rsidRPr="00313C1C">
              <w:rPr>
                <w:rFonts w:ascii="Book Antiqua" w:hAnsi="Book Antiqua"/>
                <w:sz w:val="22"/>
                <w:szCs w:val="22"/>
              </w:rPr>
              <w:t>9</w:t>
            </w:r>
            <w:r w:rsidR="00B43B61">
              <w:rPr>
                <w:rFonts w:ascii="Book Antiqua" w:hAnsi="Book Antiqua"/>
                <w:sz w:val="22"/>
                <w:szCs w:val="22"/>
              </w:rPr>
              <w:t xml:space="preserve"> *</w:t>
            </w:r>
          </w:p>
        </w:tc>
        <w:tc>
          <w:tcPr>
            <w:tcW w:w="2550" w:type="dxa"/>
            <w:tcBorders>
              <w:bottom w:val="single" w:sz="4" w:space="0" w:color="auto"/>
            </w:tcBorders>
          </w:tcPr>
          <w:p w14:paraId="379B676A" w14:textId="3F8E3D85" w:rsidR="000C4B7B" w:rsidRPr="00313C1C" w:rsidRDefault="000C4B7B" w:rsidP="000C4B7B">
            <w:pPr>
              <w:jc w:val="center"/>
              <w:rPr>
                <w:rFonts w:ascii="Book Antiqua" w:hAnsi="Book Antiqua"/>
                <w:b/>
                <w:sz w:val="22"/>
                <w:szCs w:val="22"/>
              </w:rPr>
            </w:pPr>
            <w:r w:rsidRPr="00313C1C">
              <w:rPr>
                <w:rFonts w:ascii="Book Antiqua" w:hAnsi="Book Antiqua"/>
                <w:sz w:val="22"/>
                <w:szCs w:val="22"/>
              </w:rPr>
              <w:t>December 31, 201</w:t>
            </w:r>
            <w:r w:rsidR="00132332" w:rsidRPr="00313C1C">
              <w:rPr>
                <w:rFonts w:ascii="Book Antiqua" w:hAnsi="Book Antiqua"/>
                <w:sz w:val="22"/>
                <w:szCs w:val="22"/>
              </w:rPr>
              <w:t>8</w:t>
            </w:r>
          </w:p>
        </w:tc>
        <w:tc>
          <w:tcPr>
            <w:tcW w:w="2550" w:type="dxa"/>
            <w:tcBorders>
              <w:bottom w:val="single" w:sz="4" w:space="0" w:color="auto"/>
            </w:tcBorders>
          </w:tcPr>
          <w:p w14:paraId="5FDB21BA" w14:textId="4EDAF8B9" w:rsidR="000C4B7B" w:rsidRPr="00313C1C" w:rsidRDefault="000C4B7B" w:rsidP="000C4B7B">
            <w:pPr>
              <w:jc w:val="center"/>
              <w:rPr>
                <w:rFonts w:ascii="Book Antiqua" w:hAnsi="Book Antiqua"/>
                <w:b/>
                <w:sz w:val="22"/>
                <w:szCs w:val="22"/>
              </w:rPr>
            </w:pPr>
            <w:r w:rsidRPr="00313C1C">
              <w:rPr>
                <w:rFonts w:ascii="Book Antiqua" w:hAnsi="Book Antiqua"/>
                <w:sz w:val="22"/>
                <w:szCs w:val="22"/>
              </w:rPr>
              <w:t>December 31, 201</w:t>
            </w:r>
            <w:r w:rsidR="00132332" w:rsidRPr="00313C1C">
              <w:rPr>
                <w:rFonts w:ascii="Book Antiqua" w:hAnsi="Book Antiqua"/>
                <w:sz w:val="22"/>
                <w:szCs w:val="22"/>
              </w:rPr>
              <w:t>7</w:t>
            </w:r>
          </w:p>
        </w:tc>
      </w:tr>
      <w:tr w:rsidR="006041B9" w:rsidRPr="00313C1C" w14:paraId="6CF384C1" w14:textId="77777777" w:rsidTr="00F6496A">
        <w:tc>
          <w:tcPr>
            <w:tcW w:w="1890" w:type="dxa"/>
          </w:tcPr>
          <w:p w14:paraId="2EB920F4" w14:textId="30DC56D0" w:rsidR="006041B9" w:rsidRPr="00F35B3E" w:rsidRDefault="006041B9" w:rsidP="000C4B7B">
            <w:pPr>
              <w:rPr>
                <w:rFonts w:ascii="Book Antiqua" w:hAnsi="Book Antiqua"/>
                <w:sz w:val="22"/>
                <w:szCs w:val="22"/>
              </w:rPr>
            </w:pPr>
            <w:r w:rsidRPr="00313C1C">
              <w:rPr>
                <w:rFonts w:ascii="Book Antiqua" w:hAnsi="Book Antiqua"/>
                <w:sz w:val="22"/>
                <w:szCs w:val="22"/>
              </w:rPr>
              <w:t>Fair Market Value of Assets</w:t>
            </w:r>
            <w:r w:rsidR="00704969">
              <w:rPr>
                <w:rFonts w:ascii="Book Antiqua" w:hAnsi="Book Antiqua"/>
                <w:sz w:val="22"/>
                <w:szCs w:val="22"/>
              </w:rPr>
              <w:t>**</w:t>
            </w:r>
          </w:p>
        </w:tc>
        <w:tc>
          <w:tcPr>
            <w:tcW w:w="2550" w:type="dxa"/>
            <w:vAlign w:val="center"/>
          </w:tcPr>
          <w:p w14:paraId="0F320949" w14:textId="2CFE962F" w:rsidR="006041B9" w:rsidRPr="00F35B3E" w:rsidRDefault="006041B9" w:rsidP="00C224DF">
            <w:pPr>
              <w:jc w:val="center"/>
              <w:rPr>
                <w:rFonts w:ascii="Book Antiqua" w:hAnsi="Book Antiqua"/>
                <w:sz w:val="22"/>
                <w:szCs w:val="22"/>
              </w:rPr>
            </w:pPr>
            <w:r w:rsidRPr="00F35B3E">
              <w:rPr>
                <w:rFonts w:ascii="Book Antiqua" w:hAnsi="Book Antiqua"/>
                <w:sz w:val="22"/>
                <w:szCs w:val="22"/>
              </w:rPr>
              <w:t>$</w:t>
            </w:r>
            <w:r w:rsidR="00C224DF">
              <w:rPr>
                <w:rFonts w:ascii="Book Antiqua" w:hAnsi="Book Antiqua"/>
                <w:sz w:val="22"/>
                <w:szCs w:val="22"/>
              </w:rPr>
              <w:t>577,110,061</w:t>
            </w:r>
          </w:p>
        </w:tc>
        <w:tc>
          <w:tcPr>
            <w:tcW w:w="2550" w:type="dxa"/>
            <w:shd w:val="clear" w:color="auto" w:fill="auto"/>
            <w:vAlign w:val="center"/>
          </w:tcPr>
          <w:p w14:paraId="0D9AE46E" w14:textId="3DD4671C" w:rsidR="006041B9" w:rsidRPr="00F35B3E" w:rsidRDefault="006041B9" w:rsidP="00C224DF">
            <w:pPr>
              <w:jc w:val="center"/>
              <w:rPr>
                <w:rFonts w:ascii="Book Antiqua" w:hAnsi="Book Antiqua"/>
                <w:sz w:val="22"/>
                <w:szCs w:val="22"/>
              </w:rPr>
            </w:pPr>
            <w:r w:rsidRPr="00F35B3E">
              <w:rPr>
                <w:rFonts w:ascii="Book Antiqua" w:hAnsi="Book Antiqua"/>
                <w:sz w:val="22"/>
                <w:szCs w:val="22"/>
              </w:rPr>
              <w:t>$</w:t>
            </w:r>
            <w:r w:rsidR="00C224DF" w:rsidRPr="00F35B3E">
              <w:rPr>
                <w:rFonts w:ascii="Book Antiqua" w:hAnsi="Book Antiqua"/>
                <w:sz w:val="22"/>
                <w:szCs w:val="22"/>
              </w:rPr>
              <w:t>550,350,362</w:t>
            </w:r>
          </w:p>
        </w:tc>
        <w:tc>
          <w:tcPr>
            <w:tcW w:w="2550" w:type="dxa"/>
            <w:shd w:val="clear" w:color="auto" w:fill="auto"/>
            <w:vAlign w:val="center"/>
          </w:tcPr>
          <w:p w14:paraId="0A39F833" w14:textId="18847571" w:rsidR="006041B9" w:rsidRPr="00F35B3E" w:rsidRDefault="006041B9" w:rsidP="00C224DF">
            <w:pPr>
              <w:jc w:val="center"/>
              <w:rPr>
                <w:rFonts w:ascii="Book Antiqua" w:hAnsi="Book Antiqua"/>
                <w:sz w:val="22"/>
                <w:szCs w:val="22"/>
              </w:rPr>
            </w:pPr>
            <w:r w:rsidRPr="00F35B3E">
              <w:rPr>
                <w:rFonts w:ascii="Book Antiqua" w:hAnsi="Book Antiqua"/>
                <w:sz w:val="22"/>
                <w:szCs w:val="22"/>
              </w:rPr>
              <w:t>$</w:t>
            </w:r>
            <w:r w:rsidR="00C224DF" w:rsidRPr="00F35B3E">
              <w:rPr>
                <w:rFonts w:ascii="Book Antiqua" w:hAnsi="Book Antiqua"/>
                <w:sz w:val="22"/>
                <w:szCs w:val="22"/>
              </w:rPr>
              <w:t>653,823,420</w:t>
            </w:r>
          </w:p>
        </w:tc>
      </w:tr>
    </w:tbl>
    <w:p w14:paraId="5538E436" w14:textId="5305B914" w:rsidR="00E644FF" w:rsidRDefault="00E644FF" w:rsidP="00E644FF">
      <w:pPr>
        <w:rPr>
          <w:rFonts w:ascii="Book Antiqua" w:hAnsi="Book Antiqua" w:cs="Courier New"/>
          <w:i/>
          <w:sz w:val="22"/>
          <w:szCs w:val="22"/>
        </w:rPr>
      </w:pPr>
      <w:r w:rsidRPr="00F35B3E">
        <w:rPr>
          <w:rFonts w:ascii="Book Antiqua" w:hAnsi="Book Antiqua" w:cs="Courier New"/>
          <w:i/>
          <w:sz w:val="22"/>
          <w:szCs w:val="22"/>
        </w:rPr>
        <w:t>*</w:t>
      </w:r>
      <w:r w:rsidR="00B43B61">
        <w:rPr>
          <w:rFonts w:ascii="Book Antiqua" w:hAnsi="Book Antiqua" w:cs="Courier New"/>
          <w:i/>
          <w:sz w:val="22"/>
          <w:szCs w:val="22"/>
        </w:rPr>
        <w:t xml:space="preserve"> </w:t>
      </w:r>
      <w:r w:rsidRPr="00F35B3E">
        <w:rPr>
          <w:rFonts w:ascii="Book Antiqua" w:hAnsi="Book Antiqua" w:cs="Courier New"/>
          <w:i/>
          <w:sz w:val="22"/>
          <w:szCs w:val="22"/>
        </w:rPr>
        <w:t>Based on the plan administrator’s unaudited financials and is subject to revision during the annual audit process.</w:t>
      </w:r>
    </w:p>
    <w:p w14:paraId="0FFB4760" w14:textId="35EDF13D" w:rsidR="00704969" w:rsidRPr="00F35B3E" w:rsidRDefault="00704969" w:rsidP="00E644FF">
      <w:pPr>
        <w:rPr>
          <w:rFonts w:ascii="Book Antiqua" w:hAnsi="Book Antiqua" w:cs="Courier New"/>
          <w:i/>
          <w:sz w:val="22"/>
          <w:szCs w:val="22"/>
        </w:rPr>
      </w:pPr>
      <w:r>
        <w:rPr>
          <w:rFonts w:ascii="Book Antiqua" w:hAnsi="Book Antiqua" w:cs="Courier New"/>
          <w:i/>
          <w:sz w:val="22"/>
          <w:szCs w:val="22"/>
        </w:rPr>
        <w:t>** Withdrawal liability receivables are not reflected.</w:t>
      </w:r>
    </w:p>
    <w:p w14:paraId="0297CE74" w14:textId="77777777" w:rsidR="00E644FF" w:rsidRPr="00313C1C" w:rsidRDefault="00E644FF" w:rsidP="00E644FF">
      <w:pPr>
        <w:rPr>
          <w:rFonts w:ascii="Book Antiqua" w:hAnsi="Book Antiqua"/>
          <w:sz w:val="22"/>
          <w:szCs w:val="22"/>
        </w:rPr>
      </w:pPr>
    </w:p>
    <w:p w14:paraId="14D7DBA9" w14:textId="77777777" w:rsidR="00E644FF" w:rsidRPr="00B10FBE" w:rsidRDefault="00E644FF" w:rsidP="00E644FF">
      <w:pPr>
        <w:jc w:val="center"/>
        <w:rPr>
          <w:rFonts w:ascii="Book Antiqua" w:hAnsi="Book Antiqua"/>
          <w:sz w:val="22"/>
          <w:szCs w:val="22"/>
          <w:u w:val="single"/>
        </w:rPr>
      </w:pPr>
      <w:r w:rsidRPr="00B10FBE">
        <w:rPr>
          <w:rFonts w:ascii="Book Antiqua" w:hAnsi="Book Antiqua"/>
          <w:sz w:val="22"/>
          <w:szCs w:val="22"/>
          <w:u w:val="single"/>
        </w:rPr>
        <w:lastRenderedPageBreak/>
        <w:t>Endangered, Critical, or Critical and Declining Status</w:t>
      </w:r>
    </w:p>
    <w:p w14:paraId="3812999F" w14:textId="77777777" w:rsidR="00E644FF" w:rsidRPr="00B10FBE" w:rsidRDefault="00E644FF" w:rsidP="00E644FF">
      <w:pPr>
        <w:jc w:val="center"/>
        <w:rPr>
          <w:rFonts w:ascii="Book Antiqua" w:hAnsi="Book Antiqua"/>
          <w:sz w:val="22"/>
          <w:szCs w:val="22"/>
          <w:u w:val="single"/>
        </w:rPr>
      </w:pPr>
    </w:p>
    <w:p w14:paraId="3C9C2E39" w14:textId="77777777" w:rsidR="00E644FF" w:rsidRPr="00313C1C" w:rsidRDefault="00E644FF" w:rsidP="00E644FF">
      <w:pPr>
        <w:rPr>
          <w:rFonts w:ascii="Book Antiqua" w:hAnsi="Book Antiqua"/>
          <w:sz w:val="22"/>
          <w:szCs w:val="22"/>
        </w:rPr>
      </w:pPr>
      <w:r w:rsidRPr="00B10FBE">
        <w:rPr>
          <w:rFonts w:ascii="Book Antiqua" w:hAnsi="Book Antiqua"/>
          <w:sz w:val="22"/>
          <w:szCs w:val="22"/>
        </w:rPr>
        <w:t>Under federal pension law, a plan generally is in “endangered” status if its funded percentage is less than 80 percent.  A plan is in “critical” status if th</w:t>
      </w:r>
      <w:r w:rsidRPr="00F96EC6">
        <w:rPr>
          <w:rFonts w:ascii="Book Antiqua" w:hAnsi="Book Antiqua"/>
          <w:sz w:val="22"/>
          <w:szCs w:val="22"/>
        </w:rPr>
        <w:t>e funded percentage is less than 65 percent (other factors may also apply).  A plan is in “critical and declining” status if it is in critical status and is projected to become insolvent (run out of money to pay benefits) within 15 years (or within 20 year</w:t>
      </w:r>
      <w:r w:rsidRPr="00313C1C">
        <w:rPr>
          <w:rFonts w:ascii="Book Antiqua" w:hAnsi="Book Antiqua"/>
          <w:sz w:val="22"/>
          <w:szCs w:val="22"/>
        </w:rPr>
        <w:t>s if a special rule applies).  If a pension plan enters endangered status, the trustees of the plan are required to adopt a funding improvement plan.  Similarly, if a pension plan enters critical status or critical and declining status, the trustees of the plan are required to adopt a rehabilitation plan.  Funding improvement and rehabilitation plans establish steps and benchmarks for pension plans to improve their funding status over a specified period of time.  The plan sponsor of a plan in critical and declining status may apply for approval to amend the plan to reduce current and future payment obligations to participants and beneficiaries.</w:t>
      </w:r>
    </w:p>
    <w:p w14:paraId="4EA602CB" w14:textId="77777777" w:rsidR="00E644FF" w:rsidRPr="00313C1C" w:rsidRDefault="00E644FF" w:rsidP="00E644FF">
      <w:pPr>
        <w:rPr>
          <w:rFonts w:ascii="Book Antiqua" w:hAnsi="Book Antiqua"/>
          <w:sz w:val="22"/>
          <w:szCs w:val="22"/>
        </w:rPr>
      </w:pPr>
      <w:r w:rsidRPr="00313C1C">
        <w:rPr>
          <w:rFonts w:ascii="Book Antiqua" w:hAnsi="Book Antiqua"/>
          <w:sz w:val="22"/>
          <w:szCs w:val="22"/>
        </w:rPr>
        <w:t xml:space="preserve"> </w:t>
      </w:r>
    </w:p>
    <w:p w14:paraId="51C60787" w14:textId="2AB92063" w:rsidR="00C64DF5" w:rsidRPr="00B10FBE" w:rsidRDefault="00E644FF" w:rsidP="00E644FF">
      <w:pPr>
        <w:rPr>
          <w:rFonts w:ascii="Book Antiqua" w:hAnsi="Book Antiqua"/>
          <w:sz w:val="22"/>
          <w:szCs w:val="22"/>
          <w:highlight w:val="yellow"/>
        </w:rPr>
      </w:pPr>
      <w:r w:rsidRPr="00313C1C">
        <w:rPr>
          <w:rFonts w:ascii="Book Antiqua" w:hAnsi="Book Antiqua"/>
          <w:sz w:val="22"/>
          <w:szCs w:val="22"/>
        </w:rPr>
        <w:t xml:space="preserve">The Plan was in critical and declining status in the Plan Year ending December 31, </w:t>
      </w:r>
      <w:r w:rsidR="006041B9" w:rsidRPr="00F35B3E">
        <w:rPr>
          <w:rFonts w:ascii="Book Antiqua" w:hAnsi="Book Antiqua"/>
          <w:sz w:val="22"/>
          <w:szCs w:val="22"/>
        </w:rPr>
        <w:t>201</w:t>
      </w:r>
      <w:r w:rsidR="00F96EC6">
        <w:rPr>
          <w:rFonts w:ascii="Book Antiqua" w:hAnsi="Book Antiqua"/>
          <w:sz w:val="22"/>
          <w:szCs w:val="22"/>
        </w:rPr>
        <w:t>9</w:t>
      </w:r>
      <w:r w:rsidR="006041B9" w:rsidRPr="00F35B3E">
        <w:rPr>
          <w:rFonts w:ascii="Book Antiqua" w:hAnsi="Book Antiqua"/>
          <w:sz w:val="22"/>
          <w:szCs w:val="22"/>
        </w:rPr>
        <w:t xml:space="preserve"> </w:t>
      </w:r>
      <w:r w:rsidRPr="00313C1C">
        <w:rPr>
          <w:rFonts w:ascii="Book Antiqua" w:hAnsi="Book Antiqua"/>
          <w:sz w:val="22"/>
          <w:szCs w:val="22"/>
        </w:rPr>
        <w:t xml:space="preserve">because there is a </w:t>
      </w:r>
      <w:r w:rsidRPr="00B10FBE">
        <w:rPr>
          <w:rFonts w:ascii="Book Antiqua" w:hAnsi="Book Antiqua"/>
          <w:sz w:val="22"/>
          <w:szCs w:val="22"/>
        </w:rPr>
        <w:t xml:space="preserve">deficiency in the funding standard account and there is a projected insolvency within 20 years. </w:t>
      </w:r>
      <w:r w:rsidR="00C64DF5" w:rsidRPr="00B10FBE">
        <w:rPr>
          <w:rFonts w:ascii="Book Antiqua" w:hAnsi="Book Antiqua"/>
          <w:sz w:val="22"/>
          <w:szCs w:val="22"/>
          <w:highlight w:val="yellow"/>
        </w:rPr>
        <w:t xml:space="preserve"> </w:t>
      </w:r>
    </w:p>
    <w:p w14:paraId="351BA175" w14:textId="77777777" w:rsidR="00C64DF5" w:rsidRPr="00B10FBE" w:rsidRDefault="00C64DF5" w:rsidP="00E644FF">
      <w:pPr>
        <w:rPr>
          <w:rFonts w:ascii="Book Antiqua" w:hAnsi="Book Antiqua"/>
          <w:sz w:val="22"/>
          <w:szCs w:val="22"/>
          <w:highlight w:val="yellow"/>
        </w:rPr>
      </w:pPr>
    </w:p>
    <w:p w14:paraId="055087F7" w14:textId="77777777" w:rsidR="00366982" w:rsidRDefault="00704969" w:rsidP="00E644FF">
      <w:pPr>
        <w:rPr>
          <w:rFonts w:ascii="Book Antiqua" w:hAnsi="Book Antiqua"/>
          <w:sz w:val="22"/>
          <w:szCs w:val="22"/>
        </w:rPr>
      </w:pPr>
      <w:r>
        <w:rPr>
          <w:rFonts w:ascii="Book Antiqua" w:hAnsi="Book Antiqua"/>
          <w:sz w:val="22"/>
          <w:szCs w:val="22"/>
        </w:rPr>
        <w:t>In last year’s Annual Funding Notice, it was communicated that t</w:t>
      </w:r>
      <w:r w:rsidR="0045616F" w:rsidRPr="0045616F">
        <w:rPr>
          <w:rFonts w:ascii="Book Antiqua" w:hAnsi="Book Antiqua"/>
          <w:sz w:val="22"/>
          <w:szCs w:val="22"/>
        </w:rPr>
        <w:t>he Plan was projected to be insolvent in the 20</w:t>
      </w:r>
      <w:r w:rsidR="0045616F">
        <w:rPr>
          <w:rFonts w:ascii="Book Antiqua" w:hAnsi="Book Antiqua"/>
          <w:sz w:val="22"/>
          <w:szCs w:val="22"/>
        </w:rPr>
        <w:t>28</w:t>
      </w:r>
      <w:r w:rsidR="0045616F" w:rsidRPr="0045616F">
        <w:rPr>
          <w:rFonts w:ascii="Book Antiqua" w:hAnsi="Book Antiqua"/>
          <w:sz w:val="22"/>
          <w:szCs w:val="22"/>
        </w:rPr>
        <w:t xml:space="preserve"> Plan Year based on the assumptions and </w:t>
      </w:r>
      <w:r>
        <w:rPr>
          <w:rFonts w:ascii="Book Antiqua" w:hAnsi="Book Antiqua"/>
          <w:sz w:val="22"/>
          <w:szCs w:val="22"/>
        </w:rPr>
        <w:t xml:space="preserve">preliminary </w:t>
      </w:r>
      <w:r w:rsidR="0045616F" w:rsidRPr="0045616F">
        <w:rPr>
          <w:rFonts w:ascii="Book Antiqua" w:hAnsi="Book Antiqua"/>
          <w:sz w:val="22"/>
          <w:szCs w:val="22"/>
        </w:rPr>
        <w:t>financial information as of January 1, 201</w:t>
      </w:r>
      <w:r w:rsidR="0045616F">
        <w:rPr>
          <w:rFonts w:ascii="Book Antiqua" w:hAnsi="Book Antiqua"/>
          <w:sz w:val="22"/>
          <w:szCs w:val="22"/>
        </w:rPr>
        <w:t>9</w:t>
      </w:r>
      <w:r w:rsidR="0045616F" w:rsidRPr="0045616F">
        <w:rPr>
          <w:rFonts w:ascii="Book Antiqua" w:hAnsi="Book Antiqua"/>
          <w:sz w:val="22"/>
          <w:szCs w:val="22"/>
        </w:rPr>
        <w:t xml:space="preserve">. </w:t>
      </w:r>
    </w:p>
    <w:p w14:paraId="343393F2" w14:textId="77777777" w:rsidR="00366982" w:rsidRDefault="00366982" w:rsidP="00E644FF">
      <w:pPr>
        <w:rPr>
          <w:rFonts w:ascii="Book Antiqua" w:hAnsi="Book Antiqua"/>
          <w:sz w:val="22"/>
          <w:szCs w:val="22"/>
        </w:rPr>
      </w:pPr>
    </w:p>
    <w:p w14:paraId="000DD010" w14:textId="29EC986C" w:rsidR="00C64DF5" w:rsidRPr="00F35B3E" w:rsidRDefault="00366982" w:rsidP="00E644FF">
      <w:pPr>
        <w:rPr>
          <w:rFonts w:ascii="Book Antiqua" w:hAnsi="Book Antiqua"/>
          <w:sz w:val="22"/>
          <w:szCs w:val="22"/>
        </w:rPr>
      </w:pPr>
      <w:r>
        <w:rPr>
          <w:rFonts w:ascii="Book Antiqua" w:hAnsi="Book Antiqua"/>
          <w:sz w:val="22"/>
          <w:szCs w:val="22"/>
        </w:rPr>
        <w:t>However, b</w:t>
      </w:r>
      <w:r w:rsidR="004470A4" w:rsidRPr="00F35B3E">
        <w:rPr>
          <w:rFonts w:ascii="Book Antiqua" w:hAnsi="Book Antiqua"/>
          <w:sz w:val="22"/>
          <w:szCs w:val="22"/>
        </w:rPr>
        <w:t xml:space="preserve">ased </w:t>
      </w:r>
      <w:r w:rsidR="00C64DF5" w:rsidRPr="00F35B3E">
        <w:rPr>
          <w:rFonts w:ascii="Book Antiqua" w:hAnsi="Book Antiqua"/>
          <w:sz w:val="22"/>
          <w:szCs w:val="22"/>
        </w:rPr>
        <w:t xml:space="preserve">on </w:t>
      </w:r>
      <w:r w:rsidR="00983DBD">
        <w:rPr>
          <w:rFonts w:ascii="Book Antiqua" w:hAnsi="Book Antiqua"/>
          <w:sz w:val="22"/>
          <w:szCs w:val="22"/>
        </w:rPr>
        <w:t>the</w:t>
      </w:r>
      <w:r w:rsidR="00983DBD" w:rsidRPr="00F35B3E">
        <w:rPr>
          <w:rFonts w:ascii="Book Antiqua" w:hAnsi="Book Antiqua"/>
          <w:sz w:val="22"/>
          <w:szCs w:val="22"/>
        </w:rPr>
        <w:t xml:space="preserve"> </w:t>
      </w:r>
      <w:r>
        <w:rPr>
          <w:rFonts w:ascii="Book Antiqua" w:hAnsi="Book Antiqua"/>
          <w:sz w:val="22"/>
          <w:szCs w:val="22"/>
        </w:rPr>
        <w:t>p</w:t>
      </w:r>
      <w:r w:rsidR="00704969">
        <w:rPr>
          <w:rFonts w:ascii="Book Antiqua" w:hAnsi="Book Antiqua"/>
          <w:sz w:val="22"/>
          <w:szCs w:val="22"/>
        </w:rPr>
        <w:t>reliminary</w:t>
      </w:r>
      <w:r w:rsidR="00C64DF5" w:rsidRPr="00F35B3E">
        <w:rPr>
          <w:rFonts w:ascii="Book Antiqua" w:hAnsi="Book Antiqua"/>
          <w:sz w:val="22"/>
          <w:szCs w:val="22"/>
        </w:rPr>
        <w:t xml:space="preserve"> financial information as of January 1, </w:t>
      </w:r>
      <w:r w:rsidR="0045616F">
        <w:rPr>
          <w:rFonts w:ascii="Book Antiqua" w:hAnsi="Book Antiqua"/>
          <w:sz w:val="22"/>
          <w:szCs w:val="22"/>
        </w:rPr>
        <w:t>2020</w:t>
      </w:r>
      <w:r w:rsidR="00C64DF5" w:rsidRPr="00F35B3E">
        <w:rPr>
          <w:rFonts w:ascii="Book Antiqua" w:hAnsi="Book Antiqua"/>
          <w:sz w:val="22"/>
          <w:szCs w:val="22"/>
        </w:rPr>
        <w:t>, the</w:t>
      </w:r>
      <w:r>
        <w:rPr>
          <w:rFonts w:ascii="Book Antiqua" w:hAnsi="Book Antiqua"/>
          <w:sz w:val="22"/>
          <w:szCs w:val="22"/>
        </w:rPr>
        <w:t xml:space="preserve"> Plan experienced strong returns in 2019 which has delayed the</w:t>
      </w:r>
      <w:r w:rsidR="00C64DF5" w:rsidRPr="00F35B3E">
        <w:rPr>
          <w:rFonts w:ascii="Book Antiqua" w:hAnsi="Book Antiqua"/>
          <w:sz w:val="22"/>
          <w:szCs w:val="22"/>
        </w:rPr>
        <w:t xml:space="preserve"> Plan’s </w:t>
      </w:r>
      <w:r>
        <w:rPr>
          <w:rFonts w:ascii="Book Antiqua" w:hAnsi="Book Antiqua"/>
          <w:sz w:val="22"/>
          <w:szCs w:val="22"/>
        </w:rPr>
        <w:t>projected</w:t>
      </w:r>
      <w:r w:rsidR="00C64DF5" w:rsidRPr="00F35B3E">
        <w:rPr>
          <w:rFonts w:ascii="Book Antiqua" w:hAnsi="Book Antiqua"/>
          <w:sz w:val="22"/>
          <w:szCs w:val="22"/>
        </w:rPr>
        <w:t xml:space="preserve"> solvency</w:t>
      </w:r>
      <w:r>
        <w:rPr>
          <w:rFonts w:ascii="Book Antiqua" w:hAnsi="Book Antiqua"/>
          <w:sz w:val="22"/>
          <w:szCs w:val="22"/>
        </w:rPr>
        <w:t xml:space="preserve"> year to </w:t>
      </w:r>
      <w:r w:rsidR="0045616F" w:rsidRPr="00F35B3E">
        <w:rPr>
          <w:rFonts w:ascii="Book Antiqua" w:hAnsi="Book Antiqua"/>
          <w:sz w:val="22"/>
          <w:szCs w:val="22"/>
        </w:rPr>
        <w:t>20</w:t>
      </w:r>
      <w:r w:rsidR="0045616F">
        <w:rPr>
          <w:rFonts w:ascii="Book Antiqua" w:hAnsi="Book Antiqua"/>
          <w:sz w:val="22"/>
          <w:szCs w:val="22"/>
        </w:rPr>
        <w:t>3</w:t>
      </w:r>
      <w:r w:rsidR="00704DD5">
        <w:rPr>
          <w:rFonts w:ascii="Book Antiqua" w:hAnsi="Book Antiqua"/>
          <w:sz w:val="22"/>
          <w:szCs w:val="22"/>
        </w:rPr>
        <w:t>1</w:t>
      </w:r>
      <w:r w:rsidR="00565915" w:rsidRPr="00F35B3E">
        <w:rPr>
          <w:rFonts w:ascii="Book Antiqua" w:hAnsi="Book Antiqua"/>
          <w:sz w:val="22"/>
          <w:szCs w:val="22"/>
        </w:rPr>
        <w:t>.  Such</w:t>
      </w:r>
      <w:r w:rsidR="00E644FF" w:rsidRPr="00F35B3E">
        <w:rPr>
          <w:rFonts w:ascii="Book Antiqua" w:hAnsi="Book Antiqua"/>
          <w:sz w:val="22"/>
          <w:szCs w:val="22"/>
        </w:rPr>
        <w:t xml:space="preserve"> insolvency may result in benefit reductions. </w:t>
      </w:r>
    </w:p>
    <w:p w14:paraId="2CF39F06" w14:textId="77777777" w:rsidR="00C64DF5" w:rsidRPr="00F35B3E" w:rsidRDefault="00C64DF5" w:rsidP="00E644FF">
      <w:pPr>
        <w:rPr>
          <w:rFonts w:ascii="Book Antiqua" w:hAnsi="Book Antiqua"/>
          <w:sz w:val="22"/>
          <w:szCs w:val="22"/>
        </w:rPr>
      </w:pPr>
    </w:p>
    <w:p w14:paraId="19287F47" w14:textId="77777777" w:rsidR="00E644FF" w:rsidRPr="00F35B3E" w:rsidRDefault="00E644FF" w:rsidP="00E644FF">
      <w:pPr>
        <w:rPr>
          <w:rFonts w:ascii="Book Antiqua" w:hAnsi="Book Antiqua"/>
          <w:sz w:val="22"/>
          <w:szCs w:val="22"/>
        </w:rPr>
      </w:pPr>
      <w:r w:rsidRPr="00F35B3E">
        <w:rPr>
          <w:rFonts w:ascii="Book Antiqua" w:hAnsi="Book Antiqua"/>
          <w:sz w:val="22"/>
          <w:szCs w:val="22"/>
        </w:rPr>
        <w:t xml:space="preserve">In an effort to improve the Plan’s funding situation, the trustees adopted a rehabilitation plan on March 8, 2010. The rehabilitation plan eliminates the 60 month minimum guarantee in the Life/5 pension option; increases the minimum age for the Early Pension from 60 to 62 (with 20 years of service credit); removes the Early Pension subsidy by increasing the reduction factors; discontinues the offering of retroactive pension payments; and requires 5 years of service credit to vest for participants reaching normal retirement age before a break in service. You may get a copy of the Plan’s rehabilitation plan, any update to such plan and the actuarial and financial data that demonstrate any action taken by the Plan toward fiscal improvement. You may get this information by contacting the plan administrator. </w:t>
      </w:r>
    </w:p>
    <w:p w14:paraId="41A77C97" w14:textId="77777777" w:rsidR="00E644FF" w:rsidRPr="00F35B3E" w:rsidRDefault="00E644FF" w:rsidP="00E644FF">
      <w:pPr>
        <w:rPr>
          <w:rFonts w:ascii="Book Antiqua" w:hAnsi="Book Antiqua"/>
          <w:sz w:val="22"/>
          <w:szCs w:val="22"/>
        </w:rPr>
      </w:pPr>
    </w:p>
    <w:p w14:paraId="423CF623" w14:textId="37DD7D70" w:rsidR="0045616F" w:rsidRPr="00313C1C" w:rsidRDefault="00C64DF5" w:rsidP="00313C1C">
      <w:pPr>
        <w:rPr>
          <w:rFonts w:ascii="Book Antiqua" w:hAnsi="Book Antiqua"/>
          <w:sz w:val="22"/>
          <w:szCs w:val="22"/>
        </w:rPr>
      </w:pPr>
      <w:r w:rsidRPr="00313C1C">
        <w:rPr>
          <w:rFonts w:ascii="Book Antiqua" w:hAnsi="Book Antiqua"/>
          <w:sz w:val="22"/>
          <w:szCs w:val="22"/>
        </w:rPr>
        <w:t xml:space="preserve">The Plan was certified to be in critical and declining status for the plan year ending December 31, </w:t>
      </w:r>
      <w:r w:rsidR="0045616F" w:rsidRPr="00313C1C">
        <w:rPr>
          <w:rFonts w:ascii="Book Antiqua" w:hAnsi="Book Antiqua"/>
          <w:sz w:val="22"/>
          <w:szCs w:val="22"/>
        </w:rPr>
        <w:t>20</w:t>
      </w:r>
      <w:r w:rsidR="0045616F">
        <w:rPr>
          <w:rFonts w:ascii="Book Antiqua" w:hAnsi="Book Antiqua"/>
          <w:sz w:val="22"/>
          <w:szCs w:val="22"/>
        </w:rPr>
        <w:t>20</w:t>
      </w:r>
      <w:r w:rsidRPr="00313C1C">
        <w:rPr>
          <w:rFonts w:ascii="Book Antiqua" w:hAnsi="Book Antiqua"/>
          <w:sz w:val="22"/>
          <w:szCs w:val="22"/>
        </w:rPr>
        <w:t xml:space="preserve">. A separate notification of the </w:t>
      </w:r>
      <w:r w:rsidR="0045616F" w:rsidRPr="00313C1C">
        <w:rPr>
          <w:rFonts w:ascii="Book Antiqua" w:hAnsi="Book Antiqua"/>
          <w:sz w:val="22"/>
          <w:szCs w:val="22"/>
        </w:rPr>
        <w:t>20</w:t>
      </w:r>
      <w:r w:rsidR="0045616F">
        <w:rPr>
          <w:rFonts w:ascii="Book Antiqua" w:hAnsi="Book Antiqua"/>
          <w:sz w:val="22"/>
          <w:szCs w:val="22"/>
        </w:rPr>
        <w:t>20</w:t>
      </w:r>
      <w:r w:rsidR="0045616F" w:rsidRPr="00313C1C">
        <w:rPr>
          <w:rFonts w:ascii="Book Antiqua" w:hAnsi="Book Antiqua"/>
          <w:sz w:val="22"/>
          <w:szCs w:val="22"/>
        </w:rPr>
        <w:t xml:space="preserve"> </w:t>
      </w:r>
      <w:r w:rsidRPr="00313C1C">
        <w:rPr>
          <w:rFonts w:ascii="Book Antiqua" w:hAnsi="Book Antiqua"/>
          <w:sz w:val="22"/>
          <w:szCs w:val="22"/>
        </w:rPr>
        <w:t>critical and declining status will be provided.</w:t>
      </w:r>
    </w:p>
    <w:p w14:paraId="1CF266AC" w14:textId="4721F845" w:rsidR="00313C1C" w:rsidRDefault="00313C1C" w:rsidP="00313C1C">
      <w:pPr>
        <w:rPr>
          <w:rFonts w:ascii="Book Antiqua" w:hAnsi="Book Antiqua"/>
          <w:sz w:val="22"/>
          <w:szCs w:val="22"/>
        </w:rPr>
        <w:sectPr w:rsidR="00313C1C" w:rsidSect="00E644FF">
          <w:footerReference w:type="default" r:id="rId7"/>
          <w:type w:val="continuous"/>
          <w:pgSz w:w="12240" w:h="15840"/>
          <w:pgMar w:top="1440" w:right="1440" w:bottom="1440" w:left="1440" w:header="720" w:footer="720" w:gutter="0"/>
          <w:cols w:space="720"/>
          <w:docGrid w:linePitch="360"/>
        </w:sectPr>
      </w:pPr>
    </w:p>
    <w:p w14:paraId="557F2887" w14:textId="77777777" w:rsidR="00313C1C" w:rsidRPr="00313C1C" w:rsidRDefault="00313C1C" w:rsidP="00313C1C">
      <w:pPr>
        <w:jc w:val="center"/>
        <w:rPr>
          <w:rFonts w:ascii="Book Antiqua" w:hAnsi="Book Antiqua"/>
          <w:sz w:val="22"/>
          <w:szCs w:val="22"/>
          <w:u w:val="single"/>
        </w:rPr>
      </w:pPr>
      <w:r w:rsidRPr="00313C1C">
        <w:rPr>
          <w:rFonts w:ascii="Book Antiqua" w:hAnsi="Book Antiqua"/>
          <w:sz w:val="22"/>
          <w:szCs w:val="22"/>
          <w:u w:val="single"/>
        </w:rPr>
        <w:t>Participant Information</w:t>
      </w:r>
    </w:p>
    <w:p w14:paraId="0A42A8BA" w14:textId="77777777" w:rsidR="00313C1C" w:rsidRPr="00313C1C" w:rsidRDefault="00313C1C" w:rsidP="00313C1C">
      <w:pPr>
        <w:jc w:val="center"/>
        <w:rPr>
          <w:rFonts w:ascii="Book Antiqua" w:hAnsi="Book Antiqua"/>
          <w:sz w:val="22"/>
          <w:szCs w:val="22"/>
          <w:u w:val="single"/>
        </w:rPr>
      </w:pPr>
    </w:p>
    <w:p w14:paraId="4E7ADE2D" w14:textId="5A1AF6F8" w:rsidR="00E644FF" w:rsidRPr="00313C1C" w:rsidRDefault="00313C1C" w:rsidP="00313C1C">
      <w:pPr>
        <w:rPr>
          <w:rFonts w:ascii="Book Antiqua" w:hAnsi="Book Antiqua"/>
          <w:sz w:val="22"/>
          <w:szCs w:val="22"/>
        </w:rPr>
      </w:pPr>
      <w:r w:rsidRPr="00313C1C">
        <w:rPr>
          <w:rFonts w:ascii="Book Antiqua" w:hAnsi="Book Antiqua"/>
          <w:sz w:val="22"/>
          <w:szCs w:val="22"/>
        </w:rPr>
        <w:t>The total number of participants and beneficiaries covered by the Plan on the valuation date was 27,339.  Of this number, 2,527</w:t>
      </w:r>
      <w:r w:rsidRPr="00144230">
        <w:rPr>
          <w:rFonts w:ascii="Book Antiqua" w:hAnsi="Book Antiqua"/>
          <w:sz w:val="22"/>
          <w:szCs w:val="22"/>
        </w:rPr>
        <w:t xml:space="preserve"> were current employees, 16,974 were retired and receiving benefits, and 7,838 were retired or no longer working for the employer and have a right to future benefits.</w:t>
      </w:r>
    </w:p>
    <w:p w14:paraId="46EBF850" w14:textId="77777777" w:rsidR="00032AE6" w:rsidRDefault="00032AE6" w:rsidP="00E644FF">
      <w:pPr>
        <w:jc w:val="center"/>
        <w:rPr>
          <w:rFonts w:ascii="Book Antiqua" w:hAnsi="Book Antiqua"/>
          <w:sz w:val="22"/>
          <w:szCs w:val="22"/>
          <w:u w:val="single"/>
        </w:rPr>
      </w:pPr>
      <w:r>
        <w:rPr>
          <w:rFonts w:ascii="Book Antiqua" w:hAnsi="Book Antiqua"/>
          <w:sz w:val="22"/>
          <w:szCs w:val="22"/>
          <w:u w:val="single"/>
        </w:rPr>
        <w:br w:type="page"/>
      </w:r>
    </w:p>
    <w:p w14:paraId="5E668CEC" w14:textId="6C02EA86" w:rsidR="00E644FF" w:rsidRPr="00B10FBE" w:rsidRDefault="00E644FF" w:rsidP="00E644FF">
      <w:pPr>
        <w:jc w:val="center"/>
        <w:rPr>
          <w:rFonts w:ascii="Book Antiqua" w:hAnsi="Book Antiqua"/>
          <w:sz w:val="22"/>
          <w:szCs w:val="22"/>
          <w:u w:val="single"/>
        </w:rPr>
      </w:pPr>
      <w:r w:rsidRPr="00B10FBE">
        <w:rPr>
          <w:rFonts w:ascii="Book Antiqua" w:hAnsi="Book Antiqua"/>
          <w:sz w:val="22"/>
          <w:szCs w:val="22"/>
          <w:u w:val="single"/>
        </w:rPr>
        <w:lastRenderedPageBreak/>
        <w:t>Funding &amp; Investment Policies</w:t>
      </w:r>
    </w:p>
    <w:p w14:paraId="1F391466" w14:textId="77777777" w:rsidR="00E644FF" w:rsidRPr="00B10FBE" w:rsidRDefault="00E644FF" w:rsidP="00E644FF">
      <w:pPr>
        <w:jc w:val="center"/>
        <w:rPr>
          <w:rFonts w:ascii="Book Antiqua" w:hAnsi="Book Antiqua"/>
          <w:sz w:val="22"/>
          <w:szCs w:val="22"/>
          <w:u w:val="single"/>
        </w:rPr>
      </w:pPr>
    </w:p>
    <w:p w14:paraId="6BD05EA6" w14:textId="77777777" w:rsidR="00E644FF" w:rsidRPr="00313C1C" w:rsidRDefault="00E644FF" w:rsidP="00E644FF">
      <w:pPr>
        <w:rPr>
          <w:rFonts w:ascii="Book Antiqua" w:hAnsi="Book Antiqua"/>
          <w:sz w:val="22"/>
          <w:szCs w:val="22"/>
        </w:rPr>
      </w:pPr>
      <w:r w:rsidRPr="00F96EC6">
        <w:rPr>
          <w:rFonts w:ascii="Book Antiqua" w:hAnsi="Book Antiqua"/>
          <w:sz w:val="22"/>
          <w:szCs w:val="22"/>
        </w:rPr>
        <w:t xml:space="preserve">Every pension plan must have a procedure to establish a funding policy for plan objectives.  A funding policy relates to how much money is needed to pay promised </w:t>
      </w:r>
      <w:r w:rsidRPr="00313C1C">
        <w:rPr>
          <w:rFonts w:ascii="Book Antiqua" w:hAnsi="Book Antiqua"/>
          <w:sz w:val="22"/>
          <w:szCs w:val="22"/>
        </w:rPr>
        <w:t>benefits.  The Plan’s benefits are to be funded by employer contributions as negotiated in collective bargaining agreements and investment earnings.</w:t>
      </w:r>
    </w:p>
    <w:p w14:paraId="33CBFF17" w14:textId="77777777" w:rsidR="00E644FF" w:rsidRPr="00313C1C" w:rsidRDefault="00E644FF" w:rsidP="00E644FF">
      <w:pPr>
        <w:rPr>
          <w:rFonts w:ascii="Book Antiqua" w:hAnsi="Book Antiqua"/>
          <w:sz w:val="22"/>
          <w:szCs w:val="22"/>
        </w:rPr>
      </w:pPr>
    </w:p>
    <w:p w14:paraId="3405E7B4" w14:textId="77777777" w:rsidR="00E644FF" w:rsidRPr="00313C1C" w:rsidRDefault="00E644FF" w:rsidP="00E644FF">
      <w:pPr>
        <w:rPr>
          <w:rFonts w:ascii="Book Antiqua" w:hAnsi="Book Antiqua"/>
          <w:sz w:val="22"/>
          <w:szCs w:val="22"/>
        </w:rPr>
      </w:pPr>
      <w:r w:rsidRPr="00313C1C">
        <w:rPr>
          <w:rFonts w:ascii="Book Antiqua" w:hAnsi="Book Antiqua"/>
          <w:sz w:val="22"/>
          <w:szCs w:val="22"/>
        </w:rPr>
        <w:t>Pension plans also have investment policies.  These generally are written guidelines or general instructions for making investment management decisions.  The Plan uses professional investment management firms and index funds to invest its assets in accordance with the investment policy guidelines. The firms are selected and monitored by the Plan’s Board of Trustees, in consultation with an independent investment consultant. No Plan investments are managed internally. The asset allocation guidelines specified in the investment policy are described in “Information about Plan Investments” located on the Plan’s website at www.cwaitu.com.</w:t>
      </w:r>
    </w:p>
    <w:p w14:paraId="6196AFC4" w14:textId="77777777" w:rsidR="00E644FF" w:rsidRPr="00313C1C" w:rsidRDefault="00E644FF" w:rsidP="00E644FF">
      <w:pPr>
        <w:rPr>
          <w:rFonts w:ascii="Book Antiqua" w:hAnsi="Book Antiqua"/>
          <w:sz w:val="22"/>
          <w:szCs w:val="22"/>
        </w:rPr>
      </w:pPr>
    </w:p>
    <w:p w14:paraId="6CE1E810" w14:textId="77777777" w:rsidR="00E644FF" w:rsidRPr="00313C1C" w:rsidRDefault="00E644FF" w:rsidP="00E644FF">
      <w:pPr>
        <w:rPr>
          <w:rFonts w:ascii="Book Antiqua" w:hAnsi="Book Antiqua"/>
          <w:sz w:val="22"/>
          <w:szCs w:val="22"/>
        </w:rPr>
      </w:pPr>
      <w:r w:rsidRPr="00313C1C">
        <w:rPr>
          <w:rFonts w:ascii="Book Antiqua" w:hAnsi="Book Antiqua"/>
          <w:sz w:val="22"/>
          <w:szCs w:val="22"/>
        </w:rPr>
        <w:t xml:space="preserve">Under the Plan’s investment policy, the Plan’s assets were allocated among the following categories of investments, as of the end of the Plan Year.  These allocations are percentages of total assets: </w:t>
      </w:r>
    </w:p>
    <w:p w14:paraId="3190A34D" w14:textId="77777777" w:rsidR="00E644FF" w:rsidRPr="00313C1C" w:rsidRDefault="00E644FF" w:rsidP="00E644FF">
      <w:pPr>
        <w:rPr>
          <w:rFonts w:ascii="Book Antiqua" w:hAnsi="Book Antiqua"/>
          <w:sz w:val="22"/>
          <w:szCs w:val="22"/>
          <w:u w:val="single"/>
        </w:rPr>
      </w:pPr>
    </w:p>
    <w:p w14:paraId="14D5939F" w14:textId="77777777" w:rsidR="00E644FF" w:rsidRPr="00F35B3E" w:rsidRDefault="00E644FF" w:rsidP="00E644FF">
      <w:pPr>
        <w:pBdr>
          <w:top w:val="single" w:sz="4" w:space="1" w:color="auto"/>
          <w:left w:val="single" w:sz="4" w:space="4" w:color="auto"/>
          <w:bottom w:val="single" w:sz="4" w:space="1" w:color="auto"/>
          <w:right w:val="single" w:sz="4" w:space="4" w:color="auto"/>
        </w:pBdr>
        <w:rPr>
          <w:rFonts w:ascii="Book Antiqua" w:hAnsi="Book Antiqua"/>
          <w:b/>
          <w:sz w:val="22"/>
          <w:szCs w:val="22"/>
        </w:rPr>
      </w:pPr>
      <w:r w:rsidRPr="00F35B3E">
        <w:rPr>
          <w:rFonts w:ascii="Book Antiqua" w:hAnsi="Book Antiqua"/>
          <w:b/>
          <w:sz w:val="22"/>
          <w:szCs w:val="22"/>
          <w:u w:val="single"/>
        </w:rPr>
        <w:t>Asset Allocations</w:t>
      </w:r>
      <w:r w:rsidRPr="00F35B3E">
        <w:rPr>
          <w:rFonts w:ascii="Book Antiqua" w:hAnsi="Book Antiqua"/>
          <w:b/>
          <w:sz w:val="22"/>
          <w:szCs w:val="22"/>
        </w:rPr>
        <w:tab/>
      </w:r>
      <w:r w:rsidRPr="00F35B3E">
        <w:rPr>
          <w:rFonts w:ascii="Book Antiqua" w:hAnsi="Book Antiqua"/>
          <w:b/>
          <w:sz w:val="22"/>
          <w:szCs w:val="22"/>
        </w:rPr>
        <w:tab/>
      </w:r>
      <w:r w:rsidRPr="00F35B3E">
        <w:rPr>
          <w:rFonts w:ascii="Book Antiqua" w:hAnsi="Book Antiqua"/>
          <w:b/>
          <w:sz w:val="22"/>
          <w:szCs w:val="22"/>
        </w:rPr>
        <w:tab/>
      </w:r>
      <w:r w:rsidRPr="00F35B3E">
        <w:rPr>
          <w:rFonts w:ascii="Book Antiqua" w:hAnsi="Book Antiqua"/>
          <w:b/>
          <w:sz w:val="22"/>
          <w:szCs w:val="22"/>
        </w:rPr>
        <w:tab/>
      </w:r>
      <w:r w:rsidRPr="00F35B3E">
        <w:rPr>
          <w:rFonts w:ascii="Book Antiqua" w:hAnsi="Book Antiqua"/>
          <w:b/>
          <w:sz w:val="22"/>
          <w:szCs w:val="22"/>
        </w:rPr>
        <w:tab/>
      </w:r>
      <w:r w:rsidRPr="00F35B3E">
        <w:rPr>
          <w:rFonts w:ascii="Book Antiqua" w:hAnsi="Book Antiqua"/>
          <w:b/>
          <w:sz w:val="22"/>
          <w:szCs w:val="22"/>
        </w:rPr>
        <w:tab/>
      </w:r>
      <w:r w:rsidRPr="00F35B3E">
        <w:rPr>
          <w:rFonts w:ascii="Book Antiqua" w:hAnsi="Book Antiqua"/>
          <w:b/>
          <w:sz w:val="22"/>
          <w:szCs w:val="22"/>
        </w:rPr>
        <w:tab/>
        <w:t xml:space="preserve">  </w:t>
      </w:r>
      <w:r w:rsidRPr="00F35B3E">
        <w:rPr>
          <w:rFonts w:ascii="Book Antiqua" w:hAnsi="Book Antiqua"/>
          <w:b/>
          <w:sz w:val="22"/>
          <w:szCs w:val="22"/>
          <w:u w:val="single"/>
        </w:rPr>
        <w:t>Percentage:</w:t>
      </w:r>
    </w:p>
    <w:p w14:paraId="608CFBA6" w14:textId="5523D260" w:rsidR="00E644FF" w:rsidRPr="00F35B3E" w:rsidRDefault="00E644FF" w:rsidP="00E644FF">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F35B3E">
        <w:rPr>
          <w:rFonts w:ascii="Book Antiqua" w:hAnsi="Book Antiqua"/>
          <w:sz w:val="22"/>
          <w:szCs w:val="22"/>
        </w:rPr>
        <w:t>Cash (Interes</w:t>
      </w:r>
      <w:r w:rsidR="006B13F9">
        <w:rPr>
          <w:rFonts w:ascii="Book Antiqua" w:hAnsi="Book Antiqua"/>
          <w:sz w:val="22"/>
          <w:szCs w:val="22"/>
        </w:rPr>
        <w:t>t and non-interest bearing)</w:t>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t xml:space="preserve">              .29</w:t>
      </w:r>
      <w:r w:rsidRPr="00F35B3E">
        <w:rPr>
          <w:rFonts w:ascii="Book Antiqua" w:hAnsi="Book Antiqua"/>
          <w:sz w:val="22"/>
          <w:szCs w:val="22"/>
        </w:rPr>
        <w:t>%</w:t>
      </w:r>
    </w:p>
    <w:p w14:paraId="1B9EF4AF" w14:textId="0161D962" w:rsidR="00E644FF" w:rsidRPr="00F35B3E" w:rsidRDefault="00E644FF" w:rsidP="00E644FF">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F35B3E">
        <w:rPr>
          <w:rFonts w:ascii="Book Antiqua" w:hAnsi="Book Antiqua"/>
          <w:sz w:val="22"/>
          <w:szCs w:val="22"/>
        </w:rPr>
        <w:t>Corp</w:t>
      </w:r>
      <w:r w:rsidR="006B13F9">
        <w:rPr>
          <w:rFonts w:ascii="Book Antiqua" w:hAnsi="Book Antiqua"/>
          <w:sz w:val="22"/>
          <w:szCs w:val="22"/>
        </w:rPr>
        <w:t xml:space="preserve">orate Common Stocks       </w:t>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t xml:space="preserve">                       10</w:t>
      </w:r>
      <w:proofErr w:type="gramStart"/>
      <w:r w:rsidR="006B13F9">
        <w:rPr>
          <w:rFonts w:ascii="Book Antiqua" w:hAnsi="Book Antiqua"/>
          <w:sz w:val="22"/>
          <w:szCs w:val="22"/>
        </w:rPr>
        <w:t>,41</w:t>
      </w:r>
      <w:proofErr w:type="gramEnd"/>
      <w:r w:rsidRPr="00F35B3E">
        <w:rPr>
          <w:rFonts w:ascii="Book Antiqua" w:hAnsi="Book Antiqua"/>
          <w:sz w:val="22"/>
          <w:szCs w:val="22"/>
        </w:rPr>
        <w:t>%</w:t>
      </w:r>
    </w:p>
    <w:p w14:paraId="3C1DAE33" w14:textId="3FFC3A95" w:rsidR="00E644FF" w:rsidRPr="00F35B3E" w:rsidRDefault="00E644FF" w:rsidP="00E644FF">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F35B3E">
        <w:rPr>
          <w:rFonts w:ascii="Book Antiqua" w:hAnsi="Book Antiqua"/>
          <w:sz w:val="22"/>
          <w:szCs w:val="22"/>
        </w:rPr>
        <w:t>Partnership</w:t>
      </w:r>
      <w:r w:rsidR="006B13F9">
        <w:rPr>
          <w:rFonts w:ascii="Book Antiqua" w:hAnsi="Book Antiqua"/>
          <w:sz w:val="22"/>
          <w:szCs w:val="22"/>
        </w:rPr>
        <w:t xml:space="preserve">/Joint Venture Interests  </w:t>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t xml:space="preserve">            8.29</w:t>
      </w:r>
      <w:r w:rsidRPr="00F35B3E">
        <w:rPr>
          <w:rFonts w:ascii="Book Antiqua" w:hAnsi="Book Antiqua"/>
          <w:sz w:val="22"/>
          <w:szCs w:val="22"/>
        </w:rPr>
        <w:t>%</w:t>
      </w:r>
      <w:bookmarkStart w:id="0" w:name="_GoBack"/>
      <w:bookmarkEnd w:id="0"/>
    </w:p>
    <w:p w14:paraId="59B09F16" w14:textId="6B9AF69B" w:rsidR="00E644FF" w:rsidRPr="00F35B3E" w:rsidRDefault="00E644FF" w:rsidP="00E644FF">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F35B3E">
        <w:rPr>
          <w:rFonts w:ascii="Book Antiqua" w:hAnsi="Book Antiqua"/>
          <w:sz w:val="22"/>
          <w:szCs w:val="22"/>
        </w:rPr>
        <w:t xml:space="preserve">Value of interest in Common/Collective Trusts                                            </w:t>
      </w:r>
      <w:r w:rsidR="006B13F9">
        <w:rPr>
          <w:rFonts w:ascii="Book Antiqua" w:hAnsi="Book Antiqua"/>
          <w:sz w:val="22"/>
          <w:szCs w:val="22"/>
        </w:rPr>
        <w:t>72.40</w:t>
      </w:r>
      <w:r w:rsidRPr="00F35B3E">
        <w:rPr>
          <w:rFonts w:ascii="Book Antiqua" w:hAnsi="Book Antiqua"/>
          <w:sz w:val="22"/>
          <w:szCs w:val="22"/>
        </w:rPr>
        <w:t>%</w:t>
      </w:r>
    </w:p>
    <w:p w14:paraId="67D3F08C" w14:textId="037709DC" w:rsidR="00E644FF" w:rsidRPr="00F35B3E" w:rsidRDefault="00E644FF" w:rsidP="00E644FF">
      <w:pPr>
        <w:pBdr>
          <w:top w:val="single" w:sz="4" w:space="1" w:color="auto"/>
          <w:left w:val="single" w:sz="4" w:space="4" w:color="auto"/>
          <w:bottom w:val="single" w:sz="4" w:space="1" w:color="auto"/>
          <w:right w:val="single" w:sz="4" w:space="4" w:color="auto"/>
        </w:pBdr>
        <w:rPr>
          <w:rFonts w:ascii="Book Antiqua" w:hAnsi="Book Antiqua"/>
          <w:sz w:val="22"/>
          <w:szCs w:val="22"/>
        </w:rPr>
      </w:pPr>
      <w:r w:rsidRPr="00F35B3E">
        <w:rPr>
          <w:rFonts w:ascii="Book Antiqua" w:hAnsi="Book Antiqua"/>
          <w:sz w:val="22"/>
          <w:szCs w:val="22"/>
        </w:rPr>
        <w:t>Value of interest in Mutua</w:t>
      </w:r>
      <w:r w:rsidR="006B13F9">
        <w:rPr>
          <w:rFonts w:ascii="Book Antiqua" w:hAnsi="Book Antiqua"/>
          <w:sz w:val="22"/>
          <w:szCs w:val="22"/>
        </w:rPr>
        <w:t>l Funds</w:t>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r>
      <w:r w:rsidR="006B13F9">
        <w:rPr>
          <w:rFonts w:ascii="Book Antiqua" w:hAnsi="Book Antiqua"/>
          <w:sz w:val="22"/>
          <w:szCs w:val="22"/>
        </w:rPr>
        <w:tab/>
        <w:t xml:space="preserve">            8.61</w:t>
      </w:r>
      <w:r w:rsidRPr="00F35B3E">
        <w:rPr>
          <w:rFonts w:ascii="Book Antiqua" w:hAnsi="Book Antiqua"/>
          <w:sz w:val="22"/>
          <w:szCs w:val="22"/>
        </w:rPr>
        <w:t>%</w:t>
      </w:r>
    </w:p>
    <w:p w14:paraId="48C017BB" w14:textId="77777777" w:rsidR="00E644FF" w:rsidRPr="00F35B3E" w:rsidRDefault="00E644FF" w:rsidP="00E644FF">
      <w:pPr>
        <w:pBdr>
          <w:top w:val="single" w:sz="4" w:space="1" w:color="auto"/>
          <w:left w:val="single" w:sz="4" w:space="4" w:color="auto"/>
          <w:bottom w:val="single" w:sz="4" w:space="1" w:color="auto"/>
          <w:right w:val="single" w:sz="4" w:space="4" w:color="auto"/>
        </w:pBdr>
        <w:rPr>
          <w:rFonts w:ascii="Book Antiqua" w:hAnsi="Book Antiqua"/>
          <w:sz w:val="22"/>
          <w:szCs w:val="22"/>
        </w:rPr>
      </w:pPr>
    </w:p>
    <w:p w14:paraId="0C5B37DB" w14:textId="77777777" w:rsidR="00E644FF" w:rsidRPr="00313C1C" w:rsidRDefault="00E644FF" w:rsidP="00E644FF">
      <w:pPr>
        <w:rPr>
          <w:rFonts w:ascii="Book Antiqua" w:hAnsi="Book Antiqua"/>
          <w:sz w:val="22"/>
          <w:szCs w:val="22"/>
          <w:u w:val="single"/>
        </w:rPr>
      </w:pPr>
    </w:p>
    <w:p w14:paraId="227A74A6" w14:textId="77777777" w:rsidR="00E644FF" w:rsidRPr="00B10FBE" w:rsidRDefault="00E644FF" w:rsidP="00E644FF">
      <w:pPr>
        <w:rPr>
          <w:rFonts w:ascii="Book Antiqua" w:hAnsi="Book Antiqua"/>
          <w:sz w:val="22"/>
          <w:szCs w:val="22"/>
        </w:rPr>
      </w:pPr>
      <w:r w:rsidRPr="00B10FBE">
        <w:rPr>
          <w:rFonts w:ascii="Book Antiqua" w:hAnsi="Book Antiqua"/>
          <w:sz w:val="22"/>
          <w:szCs w:val="22"/>
        </w:rPr>
        <w:t>For information about the Plan’s investment in common/collective trusts, contact the Plan Office as indicated at the end of this notice.</w:t>
      </w:r>
    </w:p>
    <w:p w14:paraId="4ED9BE99" w14:textId="77777777" w:rsidR="00E644FF" w:rsidRPr="00B10FBE" w:rsidRDefault="00E644FF" w:rsidP="00E644FF">
      <w:pPr>
        <w:rPr>
          <w:rFonts w:ascii="Book Antiqua" w:hAnsi="Book Antiqua"/>
          <w:sz w:val="22"/>
          <w:szCs w:val="22"/>
        </w:rPr>
      </w:pPr>
    </w:p>
    <w:p w14:paraId="1271D990" w14:textId="77777777" w:rsidR="00E644FF" w:rsidRPr="00F96EC6" w:rsidRDefault="00E644FF" w:rsidP="00E644FF">
      <w:pPr>
        <w:jc w:val="center"/>
        <w:rPr>
          <w:rFonts w:ascii="Book Antiqua" w:hAnsi="Book Antiqua"/>
          <w:sz w:val="22"/>
          <w:szCs w:val="22"/>
          <w:u w:val="single"/>
        </w:rPr>
      </w:pPr>
      <w:r w:rsidRPr="00F96EC6">
        <w:rPr>
          <w:rFonts w:ascii="Book Antiqua" w:hAnsi="Book Antiqua"/>
          <w:sz w:val="22"/>
          <w:szCs w:val="22"/>
          <w:u w:val="single"/>
        </w:rPr>
        <w:t>Right to Request a Copy of the Annual Report</w:t>
      </w:r>
    </w:p>
    <w:p w14:paraId="34B424F5" w14:textId="77777777" w:rsidR="00E644FF" w:rsidRPr="00313C1C" w:rsidRDefault="00E644FF" w:rsidP="00E644FF">
      <w:pPr>
        <w:jc w:val="center"/>
        <w:rPr>
          <w:rFonts w:ascii="Book Antiqua" w:hAnsi="Book Antiqua"/>
          <w:sz w:val="22"/>
          <w:szCs w:val="22"/>
          <w:u w:val="single"/>
        </w:rPr>
      </w:pPr>
    </w:p>
    <w:p w14:paraId="7DFA94F4" w14:textId="77777777" w:rsidR="00E644FF" w:rsidRPr="00313C1C" w:rsidRDefault="00E644FF" w:rsidP="00E644FF">
      <w:pPr>
        <w:rPr>
          <w:rFonts w:ascii="Book Antiqua" w:hAnsi="Book Antiqua"/>
          <w:sz w:val="22"/>
          <w:szCs w:val="22"/>
        </w:rPr>
      </w:pPr>
      <w:r w:rsidRPr="00313C1C">
        <w:rPr>
          <w:rFonts w:ascii="Book Antiqua" w:hAnsi="Book Antiqua"/>
          <w:sz w:val="22"/>
          <w:szCs w:val="22"/>
        </w:rPr>
        <w:t xml:space="preserve">Pension plans must file annual reports with the US Department of Labor.  The report is called the “Form 5500.”  These reports contain financial and other information.  You may obtain an electronic copy of your Plan’s annual report by going to </w:t>
      </w:r>
      <w:hyperlink r:id="rId8" w:history="1">
        <w:r w:rsidRPr="00313C1C">
          <w:rPr>
            <w:rStyle w:val="Hyperlink"/>
            <w:rFonts w:ascii="Book Antiqua" w:hAnsi="Book Antiqua"/>
            <w:sz w:val="22"/>
            <w:szCs w:val="22"/>
          </w:rPr>
          <w:t>www.efast.dol.gov</w:t>
        </w:r>
      </w:hyperlink>
      <w:r w:rsidRPr="00313C1C">
        <w:rPr>
          <w:rFonts w:ascii="Book Antiqua" w:hAnsi="Book Antiqua"/>
          <w:sz w:val="22"/>
          <w:szCs w:val="22"/>
        </w:rPr>
        <w:t xml:space="preserve"> and using the search tool.  </w:t>
      </w:r>
      <w:r w:rsidRPr="00313C1C">
        <w:rPr>
          <w:rFonts w:ascii="Book Antiqua" w:hAnsi="Book Antiqua"/>
          <w:color w:val="000000"/>
          <w:sz w:val="22"/>
          <w:szCs w:val="22"/>
        </w:rPr>
        <w:t>Annual reports also are available from the US Department of Labor, Employee Benefits Security</w:t>
      </w:r>
      <w:r w:rsidRPr="00B10FBE">
        <w:rPr>
          <w:rFonts w:ascii="Book Antiqua" w:hAnsi="Book Antiqua"/>
          <w:color w:val="000000"/>
          <w:sz w:val="22"/>
          <w:szCs w:val="22"/>
        </w:rPr>
        <w:t xml:space="preserve"> Administration’s Public Disclosure Room at 200 Constitution Avenue, NW, Room N-1513, Washington, DC 20210, or by calling 202.693.8673.</w:t>
      </w:r>
      <w:r w:rsidRPr="00B10FBE">
        <w:rPr>
          <w:rFonts w:ascii="Book Antiqua" w:hAnsi="Book Antiqua"/>
          <w:sz w:val="22"/>
          <w:szCs w:val="22"/>
        </w:rPr>
        <w:t xml:space="preserve">  Or you may obtain a copy of the Plan’s annual report by making a written request to the plan administrator.  Or you may see the annual report on the Plan’s web site at www.cwaitu</w:t>
      </w:r>
      <w:r w:rsidR="000C4B7B" w:rsidRPr="00B10FBE">
        <w:rPr>
          <w:rFonts w:ascii="Book Antiqua" w:hAnsi="Book Antiqua"/>
          <w:sz w:val="22"/>
          <w:szCs w:val="22"/>
        </w:rPr>
        <w:t>npp.org</w:t>
      </w:r>
      <w:r w:rsidRPr="00F96EC6">
        <w:rPr>
          <w:rFonts w:ascii="Book Antiqua" w:hAnsi="Book Antiqua"/>
          <w:sz w:val="22"/>
          <w:szCs w:val="22"/>
        </w:rPr>
        <w:t>.  Annual reports do not contain personal information, such as the amount of your accrued benefit.  You may contact your plan administrator if you want information about your accrued benefit</w:t>
      </w:r>
      <w:r w:rsidRPr="00313C1C">
        <w:rPr>
          <w:rFonts w:ascii="Book Antiqua" w:hAnsi="Book Antiqua"/>
          <w:sz w:val="22"/>
          <w:szCs w:val="22"/>
        </w:rPr>
        <w:t xml:space="preserve">s.  Your plan administrator is identified below under “Where </w:t>
      </w:r>
      <w:proofErr w:type="gramStart"/>
      <w:r w:rsidRPr="00313C1C">
        <w:rPr>
          <w:rFonts w:ascii="Book Antiqua" w:hAnsi="Book Antiqua"/>
          <w:sz w:val="22"/>
          <w:szCs w:val="22"/>
        </w:rPr>
        <w:t>To</w:t>
      </w:r>
      <w:proofErr w:type="gramEnd"/>
      <w:r w:rsidRPr="00313C1C">
        <w:rPr>
          <w:rFonts w:ascii="Book Antiqua" w:hAnsi="Book Antiqua"/>
          <w:sz w:val="22"/>
          <w:szCs w:val="22"/>
        </w:rPr>
        <w:t xml:space="preserve"> Get More Information.”</w:t>
      </w:r>
    </w:p>
    <w:p w14:paraId="11315F90" w14:textId="77777777" w:rsidR="00E644FF" w:rsidRPr="00313C1C" w:rsidRDefault="00E644FF" w:rsidP="00E644FF">
      <w:pPr>
        <w:rPr>
          <w:rFonts w:ascii="Book Antiqua" w:hAnsi="Book Antiqua"/>
          <w:sz w:val="22"/>
          <w:szCs w:val="22"/>
        </w:rPr>
      </w:pPr>
    </w:p>
    <w:p w14:paraId="4B96D52D" w14:textId="77777777" w:rsidR="00032AE6" w:rsidRDefault="00032AE6" w:rsidP="00E644FF">
      <w:pPr>
        <w:pStyle w:val="Heading1"/>
        <w:spacing w:before="0" w:after="0"/>
        <w:jc w:val="center"/>
        <w:rPr>
          <w:rFonts w:ascii="Book Antiqua" w:hAnsi="Book Antiqua" w:cs="Times New Roman"/>
          <w:b w:val="0"/>
          <w:bCs w:val="0"/>
          <w:sz w:val="22"/>
          <w:szCs w:val="22"/>
          <w:u w:val="single"/>
        </w:rPr>
      </w:pPr>
      <w:r>
        <w:rPr>
          <w:rFonts w:ascii="Book Antiqua" w:hAnsi="Book Antiqua" w:cs="Times New Roman"/>
          <w:b w:val="0"/>
          <w:bCs w:val="0"/>
          <w:sz w:val="22"/>
          <w:szCs w:val="22"/>
          <w:u w:val="single"/>
        </w:rPr>
        <w:br w:type="page"/>
      </w:r>
    </w:p>
    <w:p w14:paraId="2E2BC1CC" w14:textId="0E7F7ACD" w:rsidR="00E644FF" w:rsidRPr="00313C1C" w:rsidRDefault="00E644FF" w:rsidP="00E644FF">
      <w:pPr>
        <w:pStyle w:val="Heading1"/>
        <w:spacing w:before="0" w:after="0"/>
        <w:jc w:val="center"/>
        <w:rPr>
          <w:rFonts w:ascii="Book Antiqua" w:hAnsi="Book Antiqua" w:cs="Times New Roman"/>
          <w:b w:val="0"/>
          <w:bCs w:val="0"/>
          <w:sz w:val="22"/>
          <w:szCs w:val="22"/>
          <w:u w:val="single"/>
        </w:rPr>
      </w:pPr>
      <w:r w:rsidRPr="00313C1C">
        <w:rPr>
          <w:rFonts w:ascii="Book Antiqua" w:hAnsi="Book Antiqua" w:cs="Times New Roman"/>
          <w:b w:val="0"/>
          <w:bCs w:val="0"/>
          <w:sz w:val="22"/>
          <w:szCs w:val="22"/>
          <w:u w:val="single"/>
        </w:rPr>
        <w:lastRenderedPageBreak/>
        <w:t>Summary of Rules Governing Insolvent Plans</w:t>
      </w:r>
    </w:p>
    <w:p w14:paraId="5FB68892" w14:textId="77777777" w:rsidR="00E644FF" w:rsidRPr="00F35B3E" w:rsidRDefault="00E644FF" w:rsidP="00E644FF">
      <w:pPr>
        <w:rPr>
          <w:rFonts w:ascii="Book Antiqua" w:hAnsi="Book Antiqua"/>
          <w:sz w:val="22"/>
          <w:szCs w:val="22"/>
        </w:rPr>
      </w:pPr>
    </w:p>
    <w:p w14:paraId="78A24498" w14:textId="77777777" w:rsidR="00E644FF" w:rsidRPr="00F96EC6" w:rsidRDefault="00E644FF" w:rsidP="00E644FF">
      <w:pPr>
        <w:rPr>
          <w:rFonts w:ascii="Book Antiqua" w:hAnsi="Book Antiqua"/>
          <w:sz w:val="22"/>
          <w:szCs w:val="22"/>
        </w:rPr>
      </w:pPr>
      <w:r w:rsidRPr="00313C1C">
        <w:rPr>
          <w:rFonts w:ascii="Book Antiqua" w:hAnsi="Book Antiqua"/>
          <w:sz w:val="22"/>
          <w:szCs w:val="22"/>
        </w:rPr>
        <w:t xml:space="preserve">Federal law has a number of special rules that apply to financially </w:t>
      </w:r>
      <w:proofErr w:type="gramStart"/>
      <w:r w:rsidRPr="00313C1C">
        <w:rPr>
          <w:rFonts w:ascii="Book Antiqua" w:hAnsi="Book Antiqua"/>
          <w:sz w:val="22"/>
          <w:szCs w:val="22"/>
        </w:rPr>
        <w:t>troubled</w:t>
      </w:r>
      <w:proofErr w:type="gramEnd"/>
      <w:r w:rsidRPr="00313C1C">
        <w:rPr>
          <w:rFonts w:ascii="Book Antiqua" w:hAnsi="Book Antiqua"/>
          <w:sz w:val="22"/>
          <w:szCs w:val="22"/>
        </w:rPr>
        <w:t xml:space="preserve"> multiemployer plans that become insolvent, eith</w:t>
      </w:r>
      <w:r w:rsidRPr="00B10FBE">
        <w:rPr>
          <w:rFonts w:ascii="Book Antiqua" w:hAnsi="Book Antiqua"/>
          <w:sz w:val="22"/>
          <w:szCs w:val="22"/>
        </w:rPr>
        <w:t>er as ongoing plans or plans terminated by mass withdrawal.  The plan administrator is required by law to include a summary of these rules in the annual funding notice.  A plan is insolvent for a plan year if its available financial resources are not sufficient to pay benefits when due for that plan year.  An insolvent plan must reduce benefit payments to the highest level that can be paid from the plan’s available resources.  If such resources are not enough to pay benefits at the level specified by law (see Benefit Payments Guaranteed by the PBGC, below), the plan must apply to the PBGC for financial assistance.  The PBGC will loan the plan the amount necessary to pay benefits at the guaranteed level.  Reduced benefits may be restored if the plan’s financi</w:t>
      </w:r>
      <w:r w:rsidRPr="00F96EC6">
        <w:rPr>
          <w:rFonts w:ascii="Book Antiqua" w:hAnsi="Book Antiqua"/>
          <w:sz w:val="22"/>
          <w:szCs w:val="22"/>
        </w:rPr>
        <w:t>al condition improves.</w:t>
      </w:r>
    </w:p>
    <w:p w14:paraId="042E6938" w14:textId="77777777" w:rsidR="00E644FF" w:rsidRPr="00313C1C" w:rsidRDefault="00E644FF" w:rsidP="00E644FF">
      <w:pPr>
        <w:pStyle w:val="Footer"/>
        <w:tabs>
          <w:tab w:val="clear" w:pos="4320"/>
          <w:tab w:val="clear" w:pos="8640"/>
        </w:tabs>
        <w:rPr>
          <w:rFonts w:ascii="Book Antiqua" w:hAnsi="Book Antiqua"/>
          <w:sz w:val="22"/>
          <w:szCs w:val="22"/>
        </w:rPr>
      </w:pPr>
    </w:p>
    <w:p w14:paraId="03872F56" w14:textId="77777777" w:rsidR="00E644FF" w:rsidRPr="00313C1C" w:rsidRDefault="00E644FF" w:rsidP="00E644FF">
      <w:pPr>
        <w:rPr>
          <w:rFonts w:ascii="Book Antiqua" w:hAnsi="Book Antiqua"/>
          <w:sz w:val="22"/>
          <w:szCs w:val="22"/>
        </w:rPr>
      </w:pPr>
      <w:r w:rsidRPr="00313C1C">
        <w:rPr>
          <w:rFonts w:ascii="Book Antiqua" w:hAnsi="Book Antiqua"/>
          <w:sz w:val="22"/>
          <w:szCs w:val="22"/>
        </w:rPr>
        <w:t>A plan that becomes insolvent must provide prompt notice of its status to participants and beneficiaries, contributing employers, labor unions representing participants, and PBGC.  In addition, participants and beneficiaries also must receive information regarding whether, and how, their benefits will be reduced or affected, including loss of a lump sum option.</w:t>
      </w:r>
    </w:p>
    <w:p w14:paraId="742FAD3D" w14:textId="77777777" w:rsidR="00E644FF" w:rsidRPr="00313C1C" w:rsidRDefault="00E644FF" w:rsidP="00E644FF">
      <w:pPr>
        <w:rPr>
          <w:rFonts w:ascii="Book Antiqua" w:hAnsi="Book Antiqua"/>
          <w:sz w:val="22"/>
          <w:szCs w:val="22"/>
        </w:rPr>
      </w:pPr>
    </w:p>
    <w:p w14:paraId="6415E36F" w14:textId="77777777" w:rsidR="00E644FF" w:rsidRPr="00313C1C" w:rsidRDefault="00E644FF" w:rsidP="00E644FF">
      <w:pPr>
        <w:jc w:val="center"/>
        <w:rPr>
          <w:rFonts w:ascii="Book Antiqua" w:hAnsi="Book Antiqua"/>
          <w:sz w:val="22"/>
          <w:szCs w:val="22"/>
          <w:u w:val="single"/>
        </w:rPr>
      </w:pPr>
      <w:r w:rsidRPr="00313C1C">
        <w:rPr>
          <w:rFonts w:ascii="Book Antiqua" w:hAnsi="Book Antiqua"/>
          <w:sz w:val="22"/>
          <w:szCs w:val="22"/>
          <w:u w:val="single"/>
        </w:rPr>
        <w:t>Benefit Payments Guaranteed by the PBGC</w:t>
      </w:r>
    </w:p>
    <w:p w14:paraId="36C31748" w14:textId="77777777" w:rsidR="00E644FF" w:rsidRPr="00313C1C" w:rsidRDefault="00E644FF" w:rsidP="00E644FF">
      <w:pPr>
        <w:jc w:val="center"/>
        <w:rPr>
          <w:rFonts w:ascii="Book Antiqua" w:hAnsi="Book Antiqua"/>
          <w:sz w:val="22"/>
          <w:szCs w:val="22"/>
          <w:u w:val="single"/>
        </w:rPr>
      </w:pPr>
    </w:p>
    <w:p w14:paraId="7560E597" w14:textId="77777777" w:rsidR="00E644FF" w:rsidRPr="00313C1C" w:rsidRDefault="00E644FF" w:rsidP="00E644FF">
      <w:pPr>
        <w:rPr>
          <w:rFonts w:ascii="Book Antiqua" w:hAnsi="Book Antiqua"/>
          <w:color w:val="000000"/>
          <w:sz w:val="22"/>
          <w:szCs w:val="22"/>
        </w:rPr>
      </w:pPr>
      <w:r w:rsidRPr="00313C1C">
        <w:rPr>
          <w:rFonts w:ascii="Book Antiqua" w:hAnsi="Book Antiqua"/>
          <w:color w:val="000000"/>
          <w:sz w:val="22"/>
          <w:szCs w:val="22"/>
        </w:rPr>
        <w:t>The maximum benefit that the PBGC guarantees is set by law.  Only benefits that you have earned a right to receive and that cannot be forfeited (called vested benefits) are guaranteed.  There are separate insurance programs with different benefit guarantees and other provisions for single-employer plans and multiemployer plans.  Your Plan is covered by PBGC’s multiemployer program.  Specifically, the PBGC guarantees a monthly benefit payment equal to 100 percent of the first $11 of the Plan’s monthly benefit accrual rate, plus 75 percent of the next $33 of the accrual rate, times each year of credited service.  The PBGC’s maximum guarantee, therefore, is $35.75 per month times a participant’s years of credited service.</w:t>
      </w:r>
    </w:p>
    <w:p w14:paraId="2154DA27" w14:textId="77777777" w:rsidR="00E644FF" w:rsidRPr="00313C1C" w:rsidRDefault="00E644FF" w:rsidP="00E644FF">
      <w:pPr>
        <w:rPr>
          <w:rFonts w:ascii="Book Antiqua" w:hAnsi="Book Antiqua"/>
          <w:color w:val="000000"/>
          <w:sz w:val="22"/>
          <w:szCs w:val="22"/>
        </w:rPr>
      </w:pPr>
    </w:p>
    <w:p w14:paraId="4F41CD3A" w14:textId="77777777" w:rsidR="00E644FF" w:rsidRPr="00313C1C" w:rsidRDefault="00E644FF" w:rsidP="00E644FF">
      <w:pPr>
        <w:rPr>
          <w:rFonts w:ascii="Book Antiqua" w:hAnsi="Book Antiqua"/>
          <w:color w:val="000000"/>
          <w:sz w:val="22"/>
          <w:szCs w:val="22"/>
        </w:rPr>
      </w:pPr>
      <w:r w:rsidRPr="00313C1C">
        <w:rPr>
          <w:rFonts w:ascii="Book Antiqua" w:hAnsi="Book Antiqua"/>
          <w:i/>
          <w:iCs/>
          <w:sz w:val="22"/>
          <w:szCs w:val="22"/>
        </w:rPr>
        <w:t>Example 1</w:t>
      </w:r>
      <w:r w:rsidRPr="00313C1C">
        <w:rPr>
          <w:rFonts w:ascii="Book Antiqua" w:hAnsi="Book Antiqua"/>
          <w:sz w:val="22"/>
          <w:szCs w:val="22"/>
        </w:rPr>
        <w:t>: If a participant with 10 years of credited service has an accrued monthly benefit of $600, the accrual rate for purposes of determining the PBGC guarantee would be determined by dividing the monthly benefit by the participant’s years of service ($600/10), which equals $60.  The guaranteed amount for a $60 monthly accrual rate is equal to the sum of $11 plus $24.75 (.75 x $33), or $35.75.  Thus, the participant’s guaranteed monthly benefit is $357.50 ($35.75 x 10).</w:t>
      </w:r>
    </w:p>
    <w:p w14:paraId="2A6B19B7" w14:textId="77777777" w:rsidR="00E644FF" w:rsidRPr="00313C1C" w:rsidRDefault="00E644FF" w:rsidP="00E644FF">
      <w:pPr>
        <w:rPr>
          <w:rFonts w:ascii="Book Antiqua" w:hAnsi="Book Antiqua"/>
          <w:color w:val="000000"/>
          <w:sz w:val="22"/>
          <w:szCs w:val="22"/>
        </w:rPr>
      </w:pPr>
    </w:p>
    <w:p w14:paraId="69C64DAE" w14:textId="77777777" w:rsidR="00E644FF" w:rsidRPr="00313C1C" w:rsidRDefault="00E644FF" w:rsidP="00E644FF">
      <w:pPr>
        <w:rPr>
          <w:rFonts w:ascii="Book Antiqua" w:hAnsi="Book Antiqua"/>
          <w:color w:val="000000"/>
          <w:sz w:val="22"/>
          <w:szCs w:val="22"/>
        </w:rPr>
      </w:pPr>
      <w:r w:rsidRPr="00313C1C">
        <w:rPr>
          <w:rFonts w:ascii="Book Antiqua" w:hAnsi="Book Antiqua"/>
          <w:i/>
          <w:iCs/>
          <w:sz w:val="22"/>
          <w:szCs w:val="22"/>
        </w:rPr>
        <w:t>Example 2</w:t>
      </w:r>
      <w:r w:rsidRPr="00313C1C">
        <w:rPr>
          <w:rFonts w:ascii="Book Antiqua" w:hAnsi="Book Antiqua"/>
          <w:sz w:val="22"/>
          <w:szCs w:val="22"/>
        </w:rPr>
        <w:t>: If the participant in Example 1 has an accrued monthly benefit of $200, the accrual rate for purposes of determining the guarantee would be $20 (or $200/10).  The guaranteed amount for a $20 monthly accrual rate is equal to the sum of $11 plus $6.75 (.75 x $9), or $17.75.  Thus, the participant’s guaranteed monthly benefit would be $177.50 ($17.75 x 10).</w:t>
      </w:r>
    </w:p>
    <w:p w14:paraId="779F01FF" w14:textId="77777777" w:rsidR="00E644FF" w:rsidRPr="00313C1C" w:rsidRDefault="00E644FF" w:rsidP="00E644FF">
      <w:pPr>
        <w:rPr>
          <w:rFonts w:ascii="Book Antiqua" w:hAnsi="Book Antiqua"/>
          <w:color w:val="000000"/>
          <w:sz w:val="22"/>
          <w:szCs w:val="22"/>
        </w:rPr>
      </w:pPr>
    </w:p>
    <w:p w14:paraId="2A1C8228" w14:textId="77777777" w:rsidR="00E644FF" w:rsidRPr="00313C1C" w:rsidRDefault="00E644FF" w:rsidP="00E644FF">
      <w:pPr>
        <w:rPr>
          <w:rFonts w:ascii="Book Antiqua" w:hAnsi="Book Antiqua"/>
          <w:sz w:val="22"/>
          <w:szCs w:val="22"/>
        </w:rPr>
      </w:pPr>
      <w:r w:rsidRPr="00313C1C">
        <w:rPr>
          <w:rFonts w:ascii="Book Antiqua" w:hAnsi="Book Antiqua"/>
          <w:sz w:val="22"/>
          <w:szCs w:val="22"/>
        </w:rPr>
        <w:t xml:space="preserve">The PBGC guarantees pension benefits payable at normal retirement age and some early retirement benefits.  In addition, the PBGC guarantees qualified preretirement survivor benefits (which are preretirement death benefits payable to the surviving spouse of a participant who dies before starting to receive benefit payments).  In calculating a person’s monthly payment, the PBGC will disregard any benefit increases that were made under a plan within 60 months before the earlier of the plan’s termination or insolvency (or benefits that were in effect for less than 60 months at the time of termination or insolvency).  Similarly, the PBGC does not </w:t>
      </w:r>
      <w:r w:rsidRPr="00313C1C">
        <w:rPr>
          <w:rFonts w:ascii="Book Antiqua" w:hAnsi="Book Antiqua"/>
          <w:sz w:val="22"/>
          <w:szCs w:val="22"/>
        </w:rPr>
        <w:lastRenderedPageBreak/>
        <w:t>guarantee benefits above the normal retirement benefit, disability benefits not in pay status, or non-pension benefits, such as health insurance, life insurance, death benefits, vacation pay, or severance pay.</w:t>
      </w:r>
    </w:p>
    <w:p w14:paraId="22BA0F60" w14:textId="77777777" w:rsidR="00E644FF" w:rsidRPr="00313C1C" w:rsidRDefault="00E644FF" w:rsidP="00E644FF">
      <w:pPr>
        <w:rPr>
          <w:rFonts w:ascii="Book Antiqua" w:hAnsi="Book Antiqua"/>
          <w:sz w:val="22"/>
          <w:szCs w:val="22"/>
        </w:rPr>
      </w:pPr>
    </w:p>
    <w:p w14:paraId="56EC9D5B" w14:textId="77777777" w:rsidR="00E644FF" w:rsidRPr="00B10FBE" w:rsidRDefault="00E644FF" w:rsidP="00E644FF">
      <w:pPr>
        <w:rPr>
          <w:rFonts w:ascii="Book Antiqua" w:hAnsi="Book Antiqua"/>
          <w:sz w:val="22"/>
          <w:szCs w:val="22"/>
        </w:rPr>
      </w:pPr>
      <w:r w:rsidRPr="00313C1C">
        <w:rPr>
          <w:rFonts w:ascii="Book Antiqua" w:hAnsi="Book Antiqua"/>
          <w:sz w:val="22"/>
          <w:szCs w:val="22"/>
        </w:rPr>
        <w:t xml:space="preserve">For additional information about the PBGC and the pension insurance program guarantees, go to the Multiemployer Page on PBGC’s website at </w:t>
      </w:r>
      <w:hyperlink r:id="rId9" w:history="1">
        <w:r w:rsidRPr="00313C1C">
          <w:rPr>
            <w:rStyle w:val="Hyperlink"/>
            <w:rFonts w:ascii="Book Antiqua" w:hAnsi="Book Antiqua"/>
            <w:sz w:val="22"/>
            <w:szCs w:val="22"/>
          </w:rPr>
          <w:t>www.pbgc.gov/multiemployer</w:t>
        </w:r>
      </w:hyperlink>
      <w:r w:rsidRPr="00313C1C">
        <w:rPr>
          <w:rFonts w:ascii="Book Antiqua" w:hAnsi="Book Antiqua"/>
          <w:sz w:val="22"/>
          <w:szCs w:val="22"/>
        </w:rPr>
        <w:t>.  Please contact your employer or plan administrator for specific information about your pension plan or pension benefit.  PBGC does not have that information.  See “Where to Get More Information About Your Plan,” below.</w:t>
      </w:r>
    </w:p>
    <w:p w14:paraId="4E5D90D6" w14:textId="77777777" w:rsidR="00E644FF" w:rsidRPr="00B10FBE" w:rsidRDefault="00E644FF" w:rsidP="00E644FF">
      <w:pPr>
        <w:rPr>
          <w:rFonts w:ascii="Book Antiqua" w:hAnsi="Book Antiqua"/>
          <w:sz w:val="22"/>
          <w:szCs w:val="22"/>
        </w:rPr>
      </w:pPr>
    </w:p>
    <w:p w14:paraId="768A4758" w14:textId="77777777" w:rsidR="00E644FF" w:rsidRPr="00F96EC6" w:rsidRDefault="00E644FF" w:rsidP="00E644FF">
      <w:pPr>
        <w:jc w:val="center"/>
        <w:rPr>
          <w:rFonts w:ascii="Book Antiqua" w:hAnsi="Book Antiqua"/>
          <w:bCs/>
          <w:sz w:val="22"/>
          <w:szCs w:val="22"/>
          <w:u w:val="single"/>
        </w:rPr>
      </w:pPr>
      <w:r w:rsidRPr="00B10FBE">
        <w:rPr>
          <w:rFonts w:ascii="Book Antiqua" w:hAnsi="Book Antiqua"/>
          <w:bCs/>
          <w:sz w:val="22"/>
          <w:szCs w:val="22"/>
          <w:u w:val="single"/>
        </w:rPr>
        <w:t xml:space="preserve">Where to Get More </w:t>
      </w:r>
      <w:r w:rsidRPr="00F96EC6">
        <w:rPr>
          <w:rFonts w:ascii="Book Antiqua" w:hAnsi="Book Antiqua"/>
          <w:bCs/>
          <w:sz w:val="22"/>
          <w:szCs w:val="22"/>
          <w:u w:val="single"/>
        </w:rPr>
        <w:t>Information</w:t>
      </w:r>
    </w:p>
    <w:p w14:paraId="31DFE07F" w14:textId="77777777" w:rsidR="00E644FF" w:rsidRPr="00313C1C" w:rsidRDefault="00E644FF" w:rsidP="00E644FF">
      <w:pPr>
        <w:jc w:val="center"/>
        <w:rPr>
          <w:rFonts w:ascii="Book Antiqua" w:hAnsi="Book Antiqua"/>
          <w:color w:val="000000"/>
          <w:sz w:val="22"/>
          <w:szCs w:val="22"/>
        </w:rPr>
      </w:pPr>
    </w:p>
    <w:p w14:paraId="74B446C5" w14:textId="77777777" w:rsidR="00E644FF" w:rsidRPr="00313C1C" w:rsidRDefault="00E644FF" w:rsidP="00E644FF">
      <w:pPr>
        <w:rPr>
          <w:rFonts w:ascii="Book Antiqua" w:hAnsi="Book Antiqua"/>
          <w:sz w:val="22"/>
          <w:szCs w:val="22"/>
        </w:rPr>
      </w:pPr>
      <w:r w:rsidRPr="00313C1C">
        <w:rPr>
          <w:rFonts w:ascii="Book Antiqua" w:hAnsi="Book Antiqua"/>
          <w:sz w:val="22"/>
          <w:szCs w:val="22"/>
        </w:rPr>
        <w:t xml:space="preserve">For more information about this notice, you may visit the Plan’s </w:t>
      </w:r>
      <w:r w:rsidR="00832720" w:rsidRPr="00313C1C">
        <w:rPr>
          <w:rFonts w:ascii="Book Antiqua" w:hAnsi="Book Antiqua"/>
          <w:sz w:val="22"/>
          <w:szCs w:val="22"/>
        </w:rPr>
        <w:t xml:space="preserve">updated </w:t>
      </w:r>
      <w:r w:rsidRPr="00313C1C">
        <w:rPr>
          <w:rFonts w:ascii="Book Antiqua" w:hAnsi="Book Antiqua"/>
          <w:sz w:val="22"/>
          <w:szCs w:val="22"/>
        </w:rPr>
        <w:t xml:space="preserve">web site at </w:t>
      </w:r>
      <w:r w:rsidR="008F608B" w:rsidRPr="00313C1C">
        <w:rPr>
          <w:rFonts w:ascii="Book Antiqua" w:hAnsi="Book Antiqua"/>
          <w:b/>
          <w:sz w:val="22"/>
          <w:szCs w:val="22"/>
          <w:u w:val="single"/>
        </w:rPr>
        <w:t>CWAITUNPP</w:t>
      </w:r>
      <w:r w:rsidR="008F608B" w:rsidRPr="00313C1C">
        <w:rPr>
          <w:rFonts w:ascii="Book Antiqua" w:hAnsi="Book Antiqua"/>
          <w:sz w:val="22"/>
          <w:szCs w:val="22"/>
          <w:u w:val="single"/>
        </w:rPr>
        <w:t>.</w:t>
      </w:r>
      <w:r w:rsidR="00BE1814" w:rsidRPr="00313C1C">
        <w:rPr>
          <w:rFonts w:ascii="Book Antiqua" w:hAnsi="Book Antiqua"/>
          <w:b/>
          <w:sz w:val="22"/>
          <w:szCs w:val="22"/>
          <w:u w:val="single"/>
        </w:rPr>
        <w:t>ORG</w:t>
      </w:r>
      <w:r w:rsidRPr="00313C1C">
        <w:rPr>
          <w:rFonts w:ascii="Book Antiqua" w:hAnsi="Book Antiqua"/>
          <w:sz w:val="22"/>
          <w:szCs w:val="22"/>
        </w:rPr>
        <w:t>, or you may contact the Plan Office:</w:t>
      </w:r>
    </w:p>
    <w:p w14:paraId="430BDD37" w14:textId="73B01203" w:rsidR="00E644FF" w:rsidRPr="00313C1C" w:rsidRDefault="00E644FF" w:rsidP="00E644FF">
      <w:pPr>
        <w:rPr>
          <w:rFonts w:ascii="Book Antiqua" w:hAnsi="Book Antiqua"/>
          <w:sz w:val="22"/>
          <w:szCs w:val="22"/>
        </w:rPr>
      </w:pPr>
      <w:r w:rsidRPr="00313C1C">
        <w:rPr>
          <w:rFonts w:ascii="Book Antiqua" w:hAnsi="Book Antiqua"/>
          <w:sz w:val="22"/>
          <w:szCs w:val="22"/>
        </w:rPr>
        <w:tab/>
      </w:r>
      <w:r w:rsidR="00132332" w:rsidRPr="00313C1C">
        <w:rPr>
          <w:rFonts w:ascii="Book Antiqua" w:hAnsi="Book Antiqua"/>
          <w:sz w:val="22"/>
          <w:szCs w:val="22"/>
        </w:rPr>
        <w:t>660 Southpointe Court, Ste. 316</w:t>
      </w:r>
    </w:p>
    <w:p w14:paraId="39326551" w14:textId="3B72B519" w:rsidR="00E644FF" w:rsidRPr="00313C1C" w:rsidRDefault="00E644FF" w:rsidP="00E644FF">
      <w:pPr>
        <w:rPr>
          <w:rFonts w:ascii="Book Antiqua" w:hAnsi="Book Antiqua"/>
          <w:sz w:val="22"/>
          <w:szCs w:val="22"/>
        </w:rPr>
      </w:pPr>
      <w:r w:rsidRPr="00313C1C">
        <w:rPr>
          <w:rFonts w:ascii="Book Antiqua" w:hAnsi="Book Antiqua"/>
          <w:sz w:val="22"/>
          <w:szCs w:val="22"/>
        </w:rPr>
        <w:tab/>
        <w:t xml:space="preserve">Colorado Springs, Colorado </w:t>
      </w:r>
      <w:r w:rsidR="00132332" w:rsidRPr="00313C1C">
        <w:rPr>
          <w:rFonts w:ascii="Book Antiqua" w:hAnsi="Book Antiqua"/>
          <w:sz w:val="22"/>
          <w:szCs w:val="22"/>
        </w:rPr>
        <w:t>80906</w:t>
      </w:r>
    </w:p>
    <w:p w14:paraId="5D65A233" w14:textId="77777777" w:rsidR="00E644FF" w:rsidRPr="00313C1C" w:rsidRDefault="00E644FF" w:rsidP="00E644FF">
      <w:pPr>
        <w:rPr>
          <w:rFonts w:ascii="Book Antiqua" w:hAnsi="Book Antiqua"/>
          <w:sz w:val="22"/>
          <w:szCs w:val="22"/>
        </w:rPr>
      </w:pPr>
      <w:r w:rsidRPr="00313C1C">
        <w:rPr>
          <w:rFonts w:ascii="Book Antiqua" w:hAnsi="Book Antiqua"/>
          <w:sz w:val="22"/>
          <w:szCs w:val="22"/>
        </w:rPr>
        <w:tab/>
        <w:t>Phone: (719) 473-3862</w:t>
      </w:r>
      <w:r w:rsidR="001630DF" w:rsidRPr="00313C1C">
        <w:rPr>
          <w:rFonts w:ascii="Book Antiqua" w:hAnsi="Book Antiqua"/>
          <w:sz w:val="22"/>
          <w:szCs w:val="22"/>
        </w:rPr>
        <w:t xml:space="preserve"> (no toll free number)</w:t>
      </w:r>
    </w:p>
    <w:p w14:paraId="1F0C6D33" w14:textId="77777777" w:rsidR="00BE1814" w:rsidRPr="00313C1C" w:rsidRDefault="00E644FF" w:rsidP="00E644FF">
      <w:pPr>
        <w:rPr>
          <w:rFonts w:ascii="Book Antiqua" w:hAnsi="Book Antiqua"/>
          <w:b/>
          <w:sz w:val="22"/>
          <w:szCs w:val="22"/>
          <w:u w:val="single"/>
        </w:rPr>
      </w:pPr>
      <w:r w:rsidRPr="00313C1C">
        <w:rPr>
          <w:rFonts w:ascii="Book Antiqua" w:hAnsi="Book Antiqua"/>
          <w:sz w:val="22"/>
          <w:szCs w:val="22"/>
        </w:rPr>
        <w:tab/>
        <w:t xml:space="preserve">Email: </w:t>
      </w:r>
      <w:hyperlink r:id="rId10" w:history="1">
        <w:r w:rsidR="00BE1814" w:rsidRPr="00313C1C">
          <w:rPr>
            <w:rStyle w:val="Hyperlink"/>
            <w:rFonts w:ascii="Book Antiqua" w:hAnsi="Book Antiqua"/>
            <w:b/>
            <w:sz w:val="22"/>
            <w:szCs w:val="22"/>
          </w:rPr>
          <w:t>info@cwaitunpp.org</w:t>
        </w:r>
      </w:hyperlink>
    </w:p>
    <w:p w14:paraId="68CD7DCE" w14:textId="77777777" w:rsidR="00E644FF" w:rsidRPr="00B10FBE" w:rsidRDefault="00E644FF" w:rsidP="00E644FF">
      <w:pPr>
        <w:rPr>
          <w:rFonts w:ascii="Book Antiqua" w:hAnsi="Book Antiqua"/>
          <w:sz w:val="22"/>
          <w:szCs w:val="22"/>
        </w:rPr>
      </w:pPr>
    </w:p>
    <w:p w14:paraId="2E602606" w14:textId="77777777" w:rsidR="00E644FF" w:rsidRPr="00F96EC6" w:rsidRDefault="00E644FF" w:rsidP="00E644FF">
      <w:pPr>
        <w:rPr>
          <w:rFonts w:ascii="Book Antiqua" w:hAnsi="Book Antiqua"/>
          <w:sz w:val="22"/>
          <w:szCs w:val="22"/>
        </w:rPr>
      </w:pPr>
      <w:r w:rsidRPr="00B10FBE">
        <w:rPr>
          <w:rFonts w:ascii="Book Antiqua" w:hAnsi="Book Antiqua"/>
          <w:sz w:val="22"/>
          <w:szCs w:val="22"/>
        </w:rPr>
        <w:t>For identification purposes, the plan sponsor’s name, employer identification number (“EIN”), and plan number is:</w:t>
      </w:r>
    </w:p>
    <w:p w14:paraId="399F7405" w14:textId="77777777" w:rsidR="00E644FF" w:rsidRPr="00313C1C" w:rsidRDefault="00E644FF" w:rsidP="00E644FF">
      <w:pPr>
        <w:ind w:firstLine="720"/>
        <w:rPr>
          <w:rFonts w:ascii="Book Antiqua" w:hAnsi="Book Antiqua"/>
          <w:sz w:val="22"/>
          <w:szCs w:val="22"/>
        </w:rPr>
      </w:pPr>
      <w:r w:rsidRPr="00313C1C">
        <w:rPr>
          <w:rFonts w:ascii="Book Antiqua" w:hAnsi="Book Antiqua"/>
          <w:sz w:val="22"/>
          <w:szCs w:val="22"/>
        </w:rPr>
        <w:t>CWA/ITU Negotiated Pension Plan</w:t>
      </w:r>
    </w:p>
    <w:p w14:paraId="3532B45E" w14:textId="77777777" w:rsidR="00E644FF" w:rsidRPr="00313C1C" w:rsidRDefault="00E644FF" w:rsidP="00E644FF">
      <w:pPr>
        <w:ind w:firstLine="720"/>
        <w:rPr>
          <w:rFonts w:ascii="Book Antiqua" w:hAnsi="Book Antiqua"/>
          <w:sz w:val="22"/>
          <w:szCs w:val="22"/>
        </w:rPr>
      </w:pPr>
      <w:r w:rsidRPr="00313C1C">
        <w:rPr>
          <w:rFonts w:ascii="Book Antiqua" w:hAnsi="Book Antiqua"/>
          <w:sz w:val="22"/>
          <w:szCs w:val="22"/>
        </w:rPr>
        <w:t>EIN: 13-6212879</w:t>
      </w:r>
    </w:p>
    <w:p w14:paraId="753E37BD" w14:textId="77777777" w:rsidR="00E644FF" w:rsidRPr="00313C1C" w:rsidRDefault="00E644FF" w:rsidP="00E644FF">
      <w:pPr>
        <w:ind w:firstLine="720"/>
        <w:rPr>
          <w:rFonts w:ascii="Book Antiqua" w:hAnsi="Book Antiqua"/>
          <w:sz w:val="22"/>
          <w:szCs w:val="22"/>
        </w:rPr>
      </w:pPr>
      <w:r w:rsidRPr="00313C1C">
        <w:rPr>
          <w:rFonts w:ascii="Book Antiqua" w:hAnsi="Book Antiqua"/>
          <w:sz w:val="22"/>
          <w:szCs w:val="22"/>
        </w:rPr>
        <w:t>PN: 001</w:t>
      </w:r>
    </w:p>
    <w:p w14:paraId="6EED3356" w14:textId="77777777" w:rsidR="00E644FF" w:rsidRPr="00313C1C" w:rsidRDefault="00E644FF" w:rsidP="00E644FF">
      <w:pPr>
        <w:pStyle w:val="Heading1"/>
        <w:jc w:val="center"/>
        <w:rPr>
          <w:rFonts w:ascii="Book Antiqua" w:hAnsi="Book Antiqua"/>
          <w:sz w:val="22"/>
          <w:szCs w:val="22"/>
          <w:u w:val="single"/>
        </w:rPr>
      </w:pPr>
      <w:r w:rsidRPr="00313C1C">
        <w:rPr>
          <w:rFonts w:ascii="Book Antiqua" w:hAnsi="Book Antiqua"/>
          <w:sz w:val="22"/>
          <w:szCs w:val="22"/>
          <w:u w:val="single"/>
        </w:rPr>
        <w:t>Notice to Pensioners about Tax Withholding</w:t>
      </w:r>
    </w:p>
    <w:p w14:paraId="1CD756D1" w14:textId="77777777" w:rsidR="00E644FF" w:rsidRPr="00313C1C" w:rsidRDefault="00E644FF" w:rsidP="00E644FF">
      <w:pPr>
        <w:tabs>
          <w:tab w:val="left" w:pos="-720"/>
        </w:tabs>
        <w:suppressAutoHyphens/>
        <w:spacing w:line="240" w:lineRule="atLeast"/>
        <w:jc w:val="both"/>
        <w:rPr>
          <w:rFonts w:ascii="Book Antiqua" w:hAnsi="Book Antiqua"/>
          <w:spacing w:val="-3"/>
          <w:sz w:val="22"/>
          <w:szCs w:val="22"/>
        </w:rPr>
      </w:pPr>
    </w:p>
    <w:p w14:paraId="4D8DCAE6" w14:textId="75E351E2" w:rsidR="00E644FF" w:rsidRPr="00F35B3E" w:rsidRDefault="00E644FF" w:rsidP="00F35B3E">
      <w:pPr>
        <w:tabs>
          <w:tab w:val="left" w:pos="-720"/>
        </w:tabs>
        <w:suppressAutoHyphens/>
        <w:spacing w:line="240" w:lineRule="atLeast"/>
        <w:jc w:val="both"/>
        <w:rPr>
          <w:rFonts w:ascii="Book Antiqua" w:hAnsi="Book Antiqua"/>
          <w:sz w:val="22"/>
          <w:szCs w:val="22"/>
        </w:rPr>
      </w:pPr>
      <w:r w:rsidRPr="00313C1C">
        <w:rPr>
          <w:rFonts w:ascii="Book Antiqua" w:hAnsi="Book Antiqua"/>
          <w:spacing w:val="-3"/>
          <w:sz w:val="22"/>
          <w:szCs w:val="22"/>
        </w:rPr>
        <w:t xml:space="preserve">This is a reminder that you may choose whether or not to have taxes withheld.  Benefits under the Plan are </w:t>
      </w:r>
      <w:r w:rsidRPr="00313C1C">
        <w:rPr>
          <w:rFonts w:ascii="Book Antiqua" w:hAnsi="Book Antiqua"/>
          <w:spacing w:val="-3"/>
          <w:sz w:val="22"/>
          <w:szCs w:val="22"/>
          <w:u w:val="single"/>
        </w:rPr>
        <w:t>taxable income to the recipient</w:t>
      </w:r>
      <w:r w:rsidRPr="00313C1C">
        <w:rPr>
          <w:rFonts w:ascii="Book Antiqua" w:hAnsi="Book Antiqua"/>
          <w:spacing w:val="-3"/>
          <w:sz w:val="22"/>
          <w:szCs w:val="22"/>
        </w:rPr>
        <w:t xml:space="preserve">.  (The IRS may charge a penalty if your tax withholding or estimated tax payments are not sufficient to cover your tax liability.)  If you desire withholding, please </w:t>
      </w:r>
      <w:proofErr w:type="gramStart"/>
      <w:r w:rsidRPr="00313C1C">
        <w:rPr>
          <w:rFonts w:ascii="Book Antiqua" w:hAnsi="Book Antiqua"/>
          <w:spacing w:val="-3"/>
          <w:sz w:val="22"/>
          <w:szCs w:val="22"/>
        </w:rPr>
        <w:t>advise</w:t>
      </w:r>
      <w:proofErr w:type="gramEnd"/>
      <w:r w:rsidRPr="00313C1C">
        <w:rPr>
          <w:rFonts w:ascii="Book Antiqua" w:hAnsi="Book Antiqua"/>
          <w:spacing w:val="-3"/>
          <w:sz w:val="22"/>
          <w:szCs w:val="22"/>
        </w:rPr>
        <w:t xml:space="preserve"> the Plan Office in writing of the </w:t>
      </w:r>
      <w:r w:rsidRPr="00313C1C">
        <w:rPr>
          <w:rFonts w:ascii="Book Antiqua" w:hAnsi="Book Antiqua"/>
          <w:b/>
          <w:spacing w:val="-3"/>
          <w:sz w:val="22"/>
          <w:szCs w:val="22"/>
          <w:u w:val="single"/>
        </w:rPr>
        <w:t>dollar amount</w:t>
      </w:r>
      <w:r w:rsidR="001130DB" w:rsidRPr="00313C1C">
        <w:rPr>
          <w:rFonts w:ascii="Book Antiqua" w:hAnsi="Book Antiqua"/>
          <w:b/>
          <w:spacing w:val="-3"/>
          <w:sz w:val="22"/>
          <w:szCs w:val="22"/>
          <w:u w:val="single"/>
        </w:rPr>
        <w:t xml:space="preserve"> to withhold monthly</w:t>
      </w:r>
      <w:r w:rsidRPr="00313C1C">
        <w:rPr>
          <w:rFonts w:ascii="Book Antiqua" w:hAnsi="Book Antiqua"/>
          <w:spacing w:val="-3"/>
          <w:sz w:val="22"/>
          <w:szCs w:val="22"/>
        </w:rPr>
        <w:t xml:space="preserve">.  If you have made an election previously, it will remain in effect until changed or revoked, which you may do by notifying the Plan Office.  If you have not made an election, we will </w:t>
      </w:r>
      <w:r w:rsidR="004B51F1" w:rsidRPr="00313C1C">
        <w:rPr>
          <w:rFonts w:ascii="Book Antiqua" w:hAnsi="Book Antiqua"/>
          <w:spacing w:val="-3"/>
          <w:sz w:val="22"/>
          <w:szCs w:val="22"/>
        </w:rPr>
        <w:t>NOT</w:t>
      </w:r>
      <w:r w:rsidRPr="00313C1C">
        <w:rPr>
          <w:rFonts w:ascii="Book Antiqua" w:hAnsi="Book Antiqua"/>
          <w:spacing w:val="-3"/>
          <w:sz w:val="22"/>
          <w:szCs w:val="22"/>
        </w:rPr>
        <w:t xml:space="preserve"> withhold federal tax from your pension. </w:t>
      </w:r>
      <w:r w:rsidR="001130DB" w:rsidRPr="00313C1C">
        <w:rPr>
          <w:rFonts w:ascii="Book Antiqua" w:hAnsi="Book Antiqua"/>
          <w:spacing w:val="-3"/>
          <w:sz w:val="22"/>
          <w:szCs w:val="22"/>
        </w:rPr>
        <w:t xml:space="preserve"> </w:t>
      </w:r>
      <w:r w:rsidRPr="00313C1C">
        <w:rPr>
          <w:rFonts w:ascii="Book Antiqua" w:hAnsi="Book Antiqua"/>
          <w:b/>
          <w:spacing w:val="-3"/>
          <w:sz w:val="22"/>
          <w:szCs w:val="22"/>
          <w:u w:val="single"/>
        </w:rPr>
        <w:t>If no change in withholding is desired, do not respond to this reminder</w:t>
      </w:r>
      <w:r w:rsidRPr="00313C1C">
        <w:rPr>
          <w:rFonts w:ascii="Book Antiqua" w:hAnsi="Book Antiqua"/>
          <w:b/>
          <w:spacing w:val="-3"/>
          <w:sz w:val="22"/>
          <w:szCs w:val="22"/>
        </w:rPr>
        <w:t>.</w:t>
      </w:r>
    </w:p>
    <w:p w14:paraId="53ADB497" w14:textId="77777777" w:rsidR="00E644FF" w:rsidRPr="00313C1C" w:rsidRDefault="00E644FF" w:rsidP="00E644FF">
      <w:pPr>
        <w:ind w:firstLine="720"/>
        <w:rPr>
          <w:rFonts w:ascii="Book Antiqua" w:hAnsi="Book Antiqua"/>
          <w:sz w:val="22"/>
          <w:szCs w:val="22"/>
        </w:rPr>
      </w:pPr>
    </w:p>
    <w:p w14:paraId="79BCA7D0" w14:textId="49DA3A49" w:rsidR="00002388" w:rsidRPr="00F35B3E" w:rsidRDefault="002C236E" w:rsidP="00832720">
      <w:pPr>
        <w:jc w:val="center"/>
        <w:rPr>
          <w:rFonts w:ascii="Book Antiqua" w:hAnsi="Book Antiqua"/>
          <w:sz w:val="22"/>
          <w:szCs w:val="22"/>
        </w:rPr>
      </w:pPr>
      <w:r w:rsidRPr="00F35B3E">
        <w:rPr>
          <w:rFonts w:ascii="Book Antiqua" w:hAnsi="Book Antiqua"/>
          <w:b/>
          <w:sz w:val="22"/>
          <w:szCs w:val="22"/>
          <w:u w:val="single"/>
        </w:rPr>
        <w:t>Please keep the Plan office informed of any address, phone number, Power of Attorney or marital status changes</w:t>
      </w:r>
      <w:r w:rsidR="00E7503F" w:rsidRPr="00F35B3E">
        <w:rPr>
          <w:rFonts w:ascii="Book Antiqua" w:hAnsi="Book Antiqua"/>
          <w:b/>
          <w:sz w:val="22"/>
          <w:szCs w:val="22"/>
          <w:u w:val="single"/>
        </w:rPr>
        <w:t xml:space="preserve"> via our website or call 719.473.3862</w:t>
      </w:r>
      <w:r w:rsidR="00B12B89" w:rsidRPr="00F35B3E">
        <w:rPr>
          <w:rFonts w:ascii="Book Antiqua" w:hAnsi="Book Antiqua"/>
          <w:b/>
          <w:sz w:val="22"/>
          <w:szCs w:val="22"/>
          <w:u w:val="single"/>
        </w:rPr>
        <w:t>.  Death of a benefit recipient must be reported immediately.</w:t>
      </w:r>
      <w:r w:rsidR="00B43B61">
        <w:rPr>
          <w:rFonts w:ascii="Book Antiqua" w:hAnsi="Book Antiqua"/>
          <w:b/>
          <w:sz w:val="22"/>
          <w:szCs w:val="22"/>
          <w:u w:val="single"/>
        </w:rPr>
        <w:t xml:space="preserve"> </w:t>
      </w:r>
      <w:r w:rsidR="00832720" w:rsidRPr="00F35B3E">
        <w:rPr>
          <w:rFonts w:ascii="Book Antiqua" w:hAnsi="Book Antiqua"/>
          <w:b/>
          <w:sz w:val="22"/>
          <w:szCs w:val="22"/>
          <w:u w:val="single"/>
        </w:rPr>
        <w:t>The Plan office will be conducting Annual Audit Verifications for anyone receiving monthly benefits.  These verifications m</w:t>
      </w:r>
      <w:r w:rsidR="00B12B89" w:rsidRPr="00F35B3E">
        <w:rPr>
          <w:rFonts w:ascii="Book Antiqua" w:hAnsi="Book Antiqua"/>
          <w:b/>
          <w:sz w:val="22"/>
          <w:szCs w:val="22"/>
          <w:u w:val="single"/>
        </w:rPr>
        <w:t>ay need to</w:t>
      </w:r>
      <w:r w:rsidR="00832720" w:rsidRPr="00F35B3E">
        <w:rPr>
          <w:rFonts w:ascii="Book Antiqua" w:hAnsi="Book Antiqua"/>
          <w:b/>
          <w:sz w:val="22"/>
          <w:szCs w:val="22"/>
          <w:u w:val="single"/>
        </w:rPr>
        <w:t xml:space="preserve"> be notarized </w:t>
      </w:r>
      <w:r w:rsidR="004B51F1" w:rsidRPr="00F35B3E">
        <w:rPr>
          <w:rFonts w:ascii="Book Antiqua" w:hAnsi="Book Antiqua"/>
          <w:b/>
          <w:sz w:val="22"/>
          <w:szCs w:val="22"/>
          <w:u w:val="single"/>
        </w:rPr>
        <w:t xml:space="preserve">(when </w:t>
      </w:r>
      <w:r w:rsidR="00B12B89" w:rsidRPr="00F35B3E">
        <w:rPr>
          <w:rFonts w:ascii="Book Antiqua" w:hAnsi="Book Antiqua"/>
          <w:b/>
          <w:sz w:val="22"/>
          <w:szCs w:val="22"/>
          <w:u w:val="single"/>
        </w:rPr>
        <w:t xml:space="preserve">so </w:t>
      </w:r>
      <w:r w:rsidR="004B51F1" w:rsidRPr="00F35B3E">
        <w:rPr>
          <w:rFonts w:ascii="Book Antiqua" w:hAnsi="Book Antiqua"/>
          <w:b/>
          <w:sz w:val="22"/>
          <w:szCs w:val="22"/>
          <w:u w:val="single"/>
        </w:rPr>
        <w:t xml:space="preserve">noted) </w:t>
      </w:r>
      <w:r w:rsidR="00832720" w:rsidRPr="00F35B3E">
        <w:rPr>
          <w:rFonts w:ascii="Book Antiqua" w:hAnsi="Book Antiqua"/>
          <w:b/>
          <w:sz w:val="22"/>
          <w:szCs w:val="22"/>
          <w:u w:val="single"/>
        </w:rPr>
        <w:t xml:space="preserve">and returned to the Plan office </w:t>
      </w:r>
      <w:r w:rsidR="00E7503F" w:rsidRPr="00F35B3E">
        <w:rPr>
          <w:rFonts w:ascii="Book Antiqua" w:hAnsi="Book Antiqua"/>
          <w:b/>
          <w:sz w:val="22"/>
          <w:szCs w:val="22"/>
          <w:u w:val="single"/>
        </w:rPr>
        <w:t>to update</w:t>
      </w:r>
      <w:r w:rsidR="00832720" w:rsidRPr="00F35B3E">
        <w:rPr>
          <w:rFonts w:ascii="Book Antiqua" w:hAnsi="Book Antiqua"/>
          <w:b/>
          <w:sz w:val="22"/>
          <w:szCs w:val="22"/>
          <w:u w:val="single"/>
        </w:rPr>
        <w:t xml:space="preserve"> your permanent file.</w:t>
      </w:r>
    </w:p>
    <w:sectPr w:rsidR="00002388" w:rsidRPr="00F35B3E" w:rsidSect="00E644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4E1E4" w14:textId="77777777" w:rsidR="002016C1" w:rsidRDefault="002016C1">
      <w:r>
        <w:separator/>
      </w:r>
    </w:p>
  </w:endnote>
  <w:endnote w:type="continuationSeparator" w:id="0">
    <w:p w14:paraId="0F7D451D" w14:textId="77777777" w:rsidR="002016C1" w:rsidRDefault="0020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0276" w14:textId="77777777" w:rsidR="00FE27B5" w:rsidRDefault="00F11E81">
    <w:pPr>
      <w:pStyle w:val="Footer"/>
      <w:jc w:val="center"/>
    </w:pPr>
    <w:r>
      <w:fldChar w:fldCharType="begin"/>
    </w:r>
    <w:r>
      <w:instrText xml:space="preserve"> PAGE   \* MERGEFORMAT </w:instrText>
    </w:r>
    <w:r>
      <w:fldChar w:fldCharType="separate"/>
    </w:r>
    <w:r w:rsidR="006B13F9">
      <w:rPr>
        <w:noProof/>
      </w:rPr>
      <w:t>5</w:t>
    </w:r>
    <w:r>
      <w:rPr>
        <w:noProof/>
      </w:rPr>
      <w:fldChar w:fldCharType="end"/>
    </w:r>
  </w:p>
  <w:p w14:paraId="2ECC33DF" w14:textId="77777777" w:rsidR="00FE27B5" w:rsidRDefault="00201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AA79D" w14:textId="77777777" w:rsidR="002016C1" w:rsidRDefault="002016C1">
      <w:r>
        <w:separator/>
      </w:r>
    </w:p>
  </w:footnote>
  <w:footnote w:type="continuationSeparator" w:id="0">
    <w:p w14:paraId="55026F7F" w14:textId="77777777" w:rsidR="002016C1" w:rsidRDefault="00201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FF"/>
    <w:rsid w:val="00002388"/>
    <w:rsid w:val="00032AE6"/>
    <w:rsid w:val="000B131A"/>
    <w:rsid w:val="000C4B7B"/>
    <w:rsid w:val="000F051D"/>
    <w:rsid w:val="00106F72"/>
    <w:rsid w:val="001130DB"/>
    <w:rsid w:val="00132332"/>
    <w:rsid w:val="001630DF"/>
    <w:rsid w:val="001A6864"/>
    <w:rsid w:val="002016C1"/>
    <w:rsid w:val="002332EC"/>
    <w:rsid w:val="002342ED"/>
    <w:rsid w:val="0027183D"/>
    <w:rsid w:val="002C236E"/>
    <w:rsid w:val="002D6A83"/>
    <w:rsid w:val="002D7229"/>
    <w:rsid w:val="00313C1C"/>
    <w:rsid w:val="00366982"/>
    <w:rsid w:val="00402C95"/>
    <w:rsid w:val="004362B5"/>
    <w:rsid w:val="004470A4"/>
    <w:rsid w:val="0045616F"/>
    <w:rsid w:val="0048610B"/>
    <w:rsid w:val="004B51F1"/>
    <w:rsid w:val="004C5572"/>
    <w:rsid w:val="00504505"/>
    <w:rsid w:val="005275C8"/>
    <w:rsid w:val="00565915"/>
    <w:rsid w:val="00573BAE"/>
    <w:rsid w:val="0059472B"/>
    <w:rsid w:val="005A37B6"/>
    <w:rsid w:val="005A687B"/>
    <w:rsid w:val="005F1EB5"/>
    <w:rsid w:val="005F25C2"/>
    <w:rsid w:val="006041B9"/>
    <w:rsid w:val="006873D3"/>
    <w:rsid w:val="006B13F9"/>
    <w:rsid w:val="00700A49"/>
    <w:rsid w:val="00704969"/>
    <w:rsid w:val="00704DD5"/>
    <w:rsid w:val="0080236E"/>
    <w:rsid w:val="00802846"/>
    <w:rsid w:val="00832720"/>
    <w:rsid w:val="008A44DF"/>
    <w:rsid w:val="008F608B"/>
    <w:rsid w:val="008F6E80"/>
    <w:rsid w:val="00983DBD"/>
    <w:rsid w:val="009B4180"/>
    <w:rsid w:val="009E7730"/>
    <w:rsid w:val="00A2512F"/>
    <w:rsid w:val="00A42D40"/>
    <w:rsid w:val="00AA6303"/>
    <w:rsid w:val="00AF503A"/>
    <w:rsid w:val="00AF57D2"/>
    <w:rsid w:val="00B10FBE"/>
    <w:rsid w:val="00B12B89"/>
    <w:rsid w:val="00B26168"/>
    <w:rsid w:val="00B43B61"/>
    <w:rsid w:val="00B50210"/>
    <w:rsid w:val="00B92459"/>
    <w:rsid w:val="00BC2247"/>
    <w:rsid w:val="00BE1814"/>
    <w:rsid w:val="00C224DF"/>
    <w:rsid w:val="00C524D1"/>
    <w:rsid w:val="00C575E6"/>
    <w:rsid w:val="00C64DF5"/>
    <w:rsid w:val="00CA7FC7"/>
    <w:rsid w:val="00D242E8"/>
    <w:rsid w:val="00D34E97"/>
    <w:rsid w:val="00D73B1E"/>
    <w:rsid w:val="00D969CF"/>
    <w:rsid w:val="00E45A8B"/>
    <w:rsid w:val="00E62F03"/>
    <w:rsid w:val="00E644FF"/>
    <w:rsid w:val="00E7503F"/>
    <w:rsid w:val="00EA6510"/>
    <w:rsid w:val="00F11E81"/>
    <w:rsid w:val="00F35B3E"/>
    <w:rsid w:val="00F96EC6"/>
    <w:rsid w:val="00FA2FD9"/>
    <w:rsid w:val="00FE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4D8A"/>
  <w15:docId w15:val="{71F89E47-01F6-4C14-A297-CD9D7490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F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44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92459"/>
    <w:pPr>
      <w:framePr w:w="7920" w:h="1980" w:hRule="exact" w:hSpace="180" w:wrap="auto" w:hAnchor="page" w:xAlign="center" w:yAlign="bottom"/>
      <w:ind w:left="2880"/>
      <w:jc w:val="both"/>
    </w:pPr>
    <w:rPr>
      <w:rFonts w:ascii="Microsoft Sans Serif" w:eastAsiaTheme="majorEastAsia" w:hAnsi="Microsoft Sans Serif" w:cstheme="majorBidi"/>
    </w:rPr>
  </w:style>
  <w:style w:type="character" w:customStyle="1" w:styleId="Heading1Char">
    <w:name w:val="Heading 1 Char"/>
    <w:basedOn w:val="DefaultParagraphFont"/>
    <w:link w:val="Heading1"/>
    <w:rsid w:val="00E644FF"/>
    <w:rPr>
      <w:rFonts w:ascii="Arial" w:eastAsia="Times New Roman" w:hAnsi="Arial" w:cs="Arial"/>
      <w:b/>
      <w:bCs/>
      <w:kern w:val="32"/>
      <w:sz w:val="32"/>
      <w:szCs w:val="32"/>
    </w:rPr>
  </w:style>
  <w:style w:type="paragraph" w:styleId="Footer">
    <w:name w:val="footer"/>
    <w:basedOn w:val="Normal"/>
    <w:link w:val="FooterChar"/>
    <w:uiPriority w:val="99"/>
    <w:rsid w:val="00E644FF"/>
    <w:pPr>
      <w:tabs>
        <w:tab w:val="center" w:pos="4320"/>
        <w:tab w:val="right" w:pos="8640"/>
      </w:tabs>
    </w:pPr>
  </w:style>
  <w:style w:type="character" w:customStyle="1" w:styleId="FooterChar">
    <w:name w:val="Footer Char"/>
    <w:basedOn w:val="DefaultParagraphFont"/>
    <w:link w:val="Footer"/>
    <w:uiPriority w:val="99"/>
    <w:rsid w:val="00E644FF"/>
    <w:rPr>
      <w:rFonts w:ascii="Times New Roman" w:eastAsia="Times New Roman" w:hAnsi="Times New Roman" w:cs="Times New Roman"/>
      <w:sz w:val="24"/>
      <w:szCs w:val="24"/>
    </w:rPr>
  </w:style>
  <w:style w:type="paragraph" w:styleId="Header">
    <w:name w:val="header"/>
    <w:basedOn w:val="Normal"/>
    <w:link w:val="HeaderChar"/>
    <w:rsid w:val="00E644FF"/>
    <w:pPr>
      <w:tabs>
        <w:tab w:val="center" w:pos="4320"/>
        <w:tab w:val="right" w:pos="8640"/>
      </w:tabs>
    </w:pPr>
  </w:style>
  <w:style w:type="character" w:customStyle="1" w:styleId="HeaderChar">
    <w:name w:val="Header Char"/>
    <w:basedOn w:val="DefaultParagraphFont"/>
    <w:link w:val="Header"/>
    <w:rsid w:val="00E644FF"/>
    <w:rPr>
      <w:rFonts w:ascii="Times New Roman" w:eastAsia="Times New Roman" w:hAnsi="Times New Roman" w:cs="Times New Roman"/>
      <w:sz w:val="24"/>
      <w:szCs w:val="24"/>
    </w:rPr>
  </w:style>
  <w:style w:type="character" w:styleId="Hyperlink">
    <w:name w:val="Hyperlink"/>
    <w:rsid w:val="00E644FF"/>
    <w:rPr>
      <w:color w:val="0000FF"/>
      <w:u w:val="single"/>
    </w:rPr>
  </w:style>
  <w:style w:type="paragraph" w:styleId="Title">
    <w:name w:val="Title"/>
    <w:basedOn w:val="Normal"/>
    <w:link w:val="TitleChar"/>
    <w:qFormat/>
    <w:rsid w:val="00E644FF"/>
    <w:pPr>
      <w:jc w:val="center"/>
    </w:pPr>
    <w:rPr>
      <w:b/>
      <w:bCs/>
    </w:rPr>
  </w:style>
  <w:style w:type="character" w:customStyle="1" w:styleId="TitleChar">
    <w:name w:val="Title Char"/>
    <w:basedOn w:val="DefaultParagraphFont"/>
    <w:link w:val="Title"/>
    <w:rsid w:val="00E644F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D6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83"/>
    <w:rPr>
      <w:rFonts w:ascii="Segoe UI" w:eastAsia="Times New Roman" w:hAnsi="Segoe UI" w:cs="Segoe UI"/>
      <w:sz w:val="18"/>
      <w:szCs w:val="18"/>
    </w:rPr>
  </w:style>
  <w:style w:type="paragraph" w:styleId="Revision">
    <w:name w:val="Revision"/>
    <w:hidden/>
    <w:uiPriority w:val="99"/>
    <w:semiHidden/>
    <w:rsid w:val="005275C8"/>
    <w:pPr>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4DF5"/>
    <w:rPr>
      <w:sz w:val="16"/>
      <w:szCs w:val="16"/>
    </w:rPr>
  </w:style>
  <w:style w:type="paragraph" w:styleId="CommentText">
    <w:name w:val="annotation text"/>
    <w:basedOn w:val="Normal"/>
    <w:link w:val="CommentTextChar"/>
    <w:uiPriority w:val="99"/>
    <w:semiHidden/>
    <w:unhideWhenUsed/>
    <w:rsid w:val="00C64DF5"/>
    <w:rPr>
      <w:sz w:val="20"/>
      <w:szCs w:val="20"/>
    </w:rPr>
  </w:style>
  <w:style w:type="character" w:customStyle="1" w:styleId="CommentTextChar">
    <w:name w:val="Comment Text Char"/>
    <w:basedOn w:val="DefaultParagraphFont"/>
    <w:link w:val="CommentText"/>
    <w:uiPriority w:val="99"/>
    <w:semiHidden/>
    <w:rsid w:val="00C64D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DF5"/>
    <w:rPr>
      <w:b/>
      <w:bCs/>
    </w:rPr>
  </w:style>
  <w:style w:type="character" w:customStyle="1" w:styleId="CommentSubjectChar">
    <w:name w:val="Comment Subject Char"/>
    <w:basedOn w:val="CommentTextChar"/>
    <w:link w:val="CommentSubject"/>
    <w:uiPriority w:val="99"/>
    <w:semiHidden/>
    <w:rsid w:val="00C64DF5"/>
    <w:rPr>
      <w:rFonts w:ascii="Times New Roman" w:eastAsia="Times New Roman" w:hAnsi="Times New Roman" w:cs="Times New Roman"/>
      <w:b/>
      <w:bCs/>
      <w:sz w:val="20"/>
      <w:szCs w:val="20"/>
    </w:rPr>
  </w:style>
  <w:style w:type="paragraph" w:styleId="ListParagraph">
    <w:name w:val="List Paragraph"/>
    <w:basedOn w:val="Normal"/>
    <w:uiPriority w:val="34"/>
    <w:qFormat/>
    <w:rsid w:val="00B43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st.dol.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cwaitunpp.org" TargetMode="External"/><Relationship Id="rId4" Type="http://schemas.openxmlformats.org/officeDocument/2006/relationships/webSettings" Target="webSettings.xml"/><Relationship Id="rId9" Type="http://schemas.openxmlformats.org/officeDocument/2006/relationships/hyperlink" Target="http://www.pbgc.gov/multiemplo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1FC9-9469-4869-9C34-5B34FBFB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Castle</dc:creator>
  <cp:lastModifiedBy>Lori Castle</cp:lastModifiedBy>
  <cp:revision>20</cp:revision>
  <cp:lastPrinted>2020-02-25T20:44:00Z</cp:lastPrinted>
  <dcterms:created xsi:type="dcterms:W3CDTF">2020-02-19T23:04:00Z</dcterms:created>
  <dcterms:modified xsi:type="dcterms:W3CDTF">2020-05-05T23:21:00Z</dcterms:modified>
</cp:coreProperties>
</file>